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243/2023 vom 26. Mai 2023</w:t>
      </w:r>
    </w:p>
    <w:p>
      <w:r>
        <w:t>Bundesgericht, 2023-05-26, FR</w:t>
      </w:r>
    </w:p>
    <w:p>
      <w:r>
        <w:rPr>
          <w:b/>
        </w:rPr>
        <w:t xml:space="preserve">Quelle: </w:t>
      </w:r>
      <w:r>
        <w:t>https://mcp.opencaselaw.ch/entscheid/bger_1B_243_2023</w:t>
      </w:r>
    </w:p>
    <w:p>
      <w:r>
        <w:t>FR: TF 1B 243/2023 du 26 mai 2023</w:t>
      </w:r>
    </w:p>
    <w:p>
      <w:r>
        <w:t>IT: TF 1B 243/2023 del 26 maggio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détention provisoire du recourant repose actuellement sur la décision du Tmc du 4 mai 2023 qui ordonne sa prolongation jusqu'au 18 juin 2023, en raison notamment du risque de fuite qu'il présente, à l'instar de ce que retient l'arrêt attaqué. Le recourant conserve dès lors un intérêt actuel et pratique à l'examen de ses griefs ( art. 81 al. 1 let. b LTF ; ATF 139 I 206 consid. 1.2.3; arrêt 1B_211/2023 du 11 mai 2023 consid. 1).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3</w:t>
      </w:r>
    </w:p>
    <w:p>
      <w:r>
        <w:t>Le recourant ne conteste pas l'existence de charges suffisantes, reconnaissant au demeurant les faits dénoncés. Il nie en revanche tout risque de fuite ( art. 221 al. 1 let. a CPP ) et fait valoir que les infractions commises ne seraient pas graves au point de justifier son maintien en détention ( art. 197 al. 1 let . d CPP). En outre, sa détention serait disproportionnée eu égard à la peine encourue ( art. 212 al. 3 CPP ). A l'appui de ces griefs, le recourant se prévaut d'un établissement manifestement inexact des faits ainsi que d'une violation du principe de la bonne foi, de son droit à un procès équitable et de son droit d'être entendu.</w:t>
      </w:r>
    </w:p>
    <w:p>
      <w:r>
        <w:rPr>
          <w:b/>
        </w:rPr>
        <w:t>E. 3.1</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w:t>
      </w:r>
    </w:p>
    <w:p>
      <w:r>
        <w:rPr>
          <w:b/>
        </w:rPr>
        <w:t>E. 3.2</w:t>
      </w:r>
    </w:p>
    <w:p>
      <w:r>
        <w:t>En l'espèce, l'autorité précédente a justifié la mise en détention du recourant en raison d'un risque de fuite, sans mesure de substitution possible. Elle a retenu que le recourant, qui avait affirmé aussi bien vouloir rester en Suisse que partir "ailleurs", était dénué de toute attache dans notre pays; le risque de fuite était renforcé par la peine menace et concrètement encourue, dès lors que le recourant s'exposait désormais à être jugé dans la présente procédure également pour les faits commis les 2 et 27 octobre 2022 (notamment un vol admis). Cette appréciation ne peut être suivie. Certes, le recourant est de nationalité marocaine, n'a pas de famille en Suisse et ne travaille plus depuis 2020 selon ses propres déclarations. Il est cependant connu par le Service de médecine de premier recours des HUG pour des atteintes chroniques et graves à sa santé, notamment pour une maladie des valves du coeur traitée avec une anti-coagulation fortement dosée, ainsi qu'une hypertension artérielle (cf. arrêt entrepris, p. 3). Il n'est pas en mesure de prendre en charge le suivi et le traitement qui lui sont dispensés, puisqu'il est au bénéfice, depuis septembre 2022, de subventions versées par l'Hospice général. On voit mal, dans ces circonstances, que le recourant parte à l'étranger ou disparaisse dans la clandestinité. Le fait qu'il ait pu déclarer "aussi bien vouloir rester en Suisse que partir ailleurs" ne permet pas encore d'affirmer qu'il existe un risque de fuite concret. A ces éléments s'ajoutent que le recourant a été arrêté le 5 mars 2023 pour avoir endommagé le rétroviseur d'un scooter. Il ne s'agit pas d'une infraction susceptible de justifier une peine privative de liberté relativement sévère. L'infraction à l' art. 285 ch. 1 CP ne saurait aggraver cette peine de manière significative, étant relevé qu'il ne ressort pas de l'arrêt entrepris que les agents de police auraient subi des lésions lors de l'arrestation du recourant. Il est vrai que ce dernier est en situation de récidive, puisqu'il a déjà été condamné notamment pour vol, violation de domicile, dommages à la propriété, lésions corporelles simples et violence ou menace contre les autorités et les fonctionnaires depuis le 20 mai 2015. Cela étant, on ne constate aucune escalade dans la gravité des infractions qu'il a commises. De plus, selon l'extrait du casier judiciaire, ces infractions ont donné lieu à des condamnations relativement modestes. Dès lors, même en tenant compte des infractions commises les 2 et 27 octobre 2022 (dommages à la propriété et vol), il apparaît que la peine privative de liberté d'ensemble à laquelle il faut s'attendre en l'espèce en cas de condamnation ne devrait pas être importante au point de présumer un danger de fuite du recourant. D'ailleurs, comme ce dernier le relève, il n'a pas pris la fuite lorsqu'il a été condamné le 28 octobre 2022 à une peine privative de liberté de 100 jours.</w:t>
      </w:r>
    </w:p>
    <w:p>
      <w:r>
        <w:rPr>
          <w:b/>
        </w:rPr>
        <w:t>E. 3.3</w:t>
      </w:r>
    </w:p>
    <w:p>
      <w:r>
        <w:t>En définitive, le risque de fuite présenté par le recourant ne saurait justifier son maintien en détention provisoire. Quant au risque de récidive, la Chambre des recours pénale ne l'a pas examiné. Cela étant, il ne justifierait pas, au regard de la nature des infractions en cause, le maintien du recourant en détention. Il convient ainsi de faire droit à sa demande de mise en liberté immédiate, sans qu'il y ait lieu de l'assortir de mesures de substitution au sens de l' art. 237 CPP .</w:t>
      </w:r>
    </w:p>
    <w:p>
      <w:r>
        <w:rPr>
          <w:b/>
        </w:rPr>
        <w:t>E. 4</w:t>
      </w:r>
    </w:p>
    <w:p>
      <w:r>
        <w:t>Le recours est par conséquent admis, sans qu'il soit nécessaire d'examiner les autres griefs soulevés par le recourant. L'arrêt attaqué est donc annulé et la libération immédiate du recourant ordonnée. Le recourant, qui obtient gain de cause avec l'assistance d'un avocat, a droit à des dépens pour les procédures fédérale et cantonale, à la charge du canton de Genève ( art. 68 al. 1 et 5 LTF ). Dans ces conditions, sa demande d'assistance judiciaire pour la présente procédure est sans objet. Il n'y a pas lieu de percevoir des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