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242/2013 vom 5. August 2013</w:t>
      </w:r>
    </w:p>
    <w:p>
      <w:r>
        <w:t>Bundesgericht, 2013-08-05, FR</w:t>
      </w:r>
    </w:p>
    <w:p>
      <w:r>
        <w:rPr>
          <w:b/>
        </w:rPr>
        <w:t xml:space="preserve">Quelle: </w:t>
      </w:r>
      <w:r>
        <w:t>https://mcp.opencaselaw.ch/entscheid/bger_1B_242_2013</w:t>
      </w:r>
    </w:p>
    <w:p>
      <w:r>
        <w:t>FR: TF 1B 242/2013 du 5 août 2013</w:t>
      </w:r>
    </w:p>
    <w:p>
      <w:r>
        <w:t>IT: TF 1B 242/2013 del 5 agosto 2013</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une décision relative au maintien en détention provisoire ou pour motifs de sûreté au sens des art. 212 ss CPP . Dès lors que l'acte de procédure litigieux ne met pas un terme à la procédure pénale (art. 90 s. LTF), il s'agit d'une décision incidente prise séparément au sens de l' art. 93 al. 1 LTF . La décision ordonnant ou prolongeant la mise en détention provisoire du prévenu étant susceptible de lui causer un préjudice irréparable au sens de l' art. 93 al. 1 let. a LTF , elle peut faire l'objet d'un recours au Tribunal fédéral. Selon l'art. 81 al. 1 let. a et b ch. 1 LTF, le prévenu a qualité pour agir. Le recourant conserve en outre un intérêt actuel à recourir quand bien même il a été renvoyé en jugement par acte d'accusation du 25 juin 2013 et qu'il se trouve désormais en détention pour des motifs de sûreté. Le recours est formé en temps utile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 art. 221 al. 1 CPP ; art. 5 par. 1 let . c CEDH; arrêt 1B_63/2007 du 11 mai 2007 consid. 3 non publié in ATF 133 I 168 ), condition dont la réalisation n'est pas en l'espèce contestée par le recourant qui a été renvoyé en jugement pour tentative de meurtre contre deux des victimes et pour lésions corporelles simples à l'encontre de la troisième.</w:t>
      </w:r>
    </w:p>
    <w:p>
      <w:r>
        <w:rPr>
          <w:b/>
        </w:rPr>
        <w:t>E. 3</w:t>
      </w:r>
    </w:p>
    <w:p>
      <w:r>
        <w:t>La Chambre pénale de recours a semblé admettre l'existence d'un risque de collusion au sens de l' art. 221 al. 1 let. b CPP , ainsi que l'absence de mesures permettant d'y pallier (cf. consid. 2.2.2 de l'arrêt attaqué). Pour ce faire, elle s'est référée principalement à la motivation qui prévalait dans l'arrêt du Tribunal fédéral du 13 novembre 2012. Il y avait été retenu qu'au vu des menaces alléguées proférées contre l'une des victimes par le recourant et/ou sa compagne, le risque que celui-ci ne mette sa liberté à profit pour tenter d'influencer ou d'intimider les personnes qui le mettaient en cause ne pouvait être écarté. Il n'était alors également pas possible d'y remédier par des mesures de substitution telles qu'un simple engagement de ne pas approcher ou de ne pas prendre contact avec les personnes concernées (arrêt 1B_646/2012 consid. 4.2). Toutefois, la cour cantonale a ensuite exposé que s'il devait être admis l'insuffisance du danger de collusion pour maintenir le prévenu en détention provisoire, le risque de récidive ferait obstacle à la libération du recourant (cf. consid. 3 du jugement attaqué). Dès lors que les hypothèses prévues par l' art. 221 al. 1 CPP sont alternatives (Moreillon/Parein-Reyemond, Code de procédure pénale, 2013, no 7 ad art. 221 CPP ; Forster, in BSK StPO, 2011, no 1 ad art. 221 CPP ) et vu le doute manifesté par l'autorité précédente, il s'impose par économie de procédure d'examiner en premier lieu le risque de réitération retenu. Cela vaut d'autant plus qu'en l'espèce et dans l'intervalle, l'instruction a été close par l'acte d'accusation du 25 juin 2013; or, à ce stade de la procédure et si tout danger de collusion ne peut être exclu, l'autorité doit procéder à un examen particulièrement attentif de ce risque ( ATF 137 IV 122 consid. 4.2 in fine p. 128; 132 I 21 consid. 3.2.2 p. 24; arrêts 1B_72/2013 du 11 mars 2013 consid. 3.3, 1B_388/2012 du 19 juillet 2012 consid. 2.4 in fine).</w:t>
      </w:r>
    </w:p>
    <w:p>
      <w:r>
        <w:rPr>
          <w:b/>
        </w:rPr>
        <w:t>E. 4</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rPr>
          <w:b/>
        </w:rPr>
        <w:t>E. 4.1</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arrêt 1B_103/2013 du 27 mars 2013 consid. 5.1).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4.2</w:t>
      </w:r>
    </w:p>
    <w:p>
      <w:r>
        <w:t>En l'espèce, le recourant n'est pas dépourvu de tout antécédent. En effet, la cour cantonale a rappelé qu'il était déjà connu de la justice pour deux cas de bagarre (2003 et 2007) et qu'il avait été mis en contravention pour le port d'une arme interdite, soit un couteau-papillon (2012). Le recourant ne nie pas ces événements puisqu'il en a lui-même parlé lors de l'expertise psychiatrique. De plus, selon son casier judiciaire, il a été reconnu coupable de vol et de violation des règles de la circulation routière le 16 décembre 2012. Quant aux charges pesant sur le recourant suite aux faits ayant amené sa mise en détention - qu'il ne conteste pas d'ailleurs -, elles sont très lourdes, deux des victimes ayant été gravement blessées. Sur la question du risque de récidive, l'experte psychiatre a constaté dans son rapport du 15 mars 2013 que sans traitement psychothérapeutique et si les abus d'alcool, ainsi que de cannabis devaient reprendre, ce risque était présent au vu de la nature anxieuse et impulsive du recourant. Il pourrait alors commettre le même type d'infractions que celles qu'il avait déjà commises. Lors de son audition le 12 avril 2013, l'experte a confirmé ses conclusions et a précisé que si elle avait eu beaucoup de difficultés à évaluer le risque de réitération, il ne pouvait être exclu. Enfin, force est de constater que le recourant lui-même ne conteste pas l'existence d'un danger de récidive dans son mémoire de recours, soutenant uniquement que l'intensité d'un tel risque ne permettrait pas de considérer qu'il puisse présenter pour la sécurité publique un danger de violence important et que dès lors, les mesures de substitution qu'il propose seraient suffisantes pour éviter tout danger.</w:t>
      </w:r>
    </w:p>
    <w:p>
      <w:r>
        <w:rPr>
          <w:b/>
        </w:rPr>
        <w:t>E. 4.3</w:t>
      </w:r>
    </w:p>
    <w:p>
      <w:r>
        <w:t>En conséquence et conformément au principe de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En l'occurrence et contrairement à ce que soutient le recourant, le fait d'avoir entrepris des démarches en vue de la mise en oeuvre d'un suivi auprès du Service d'addictologie dès sa libération ne permet pas d'exclure tout risque de récidive. En effet, les mesures préconisées par l'experte psychiatre - qui ne se limitaient pas à un traitement des addictions - ne tendaient qu'à diminuer ce danger. En présence de celui-ci, la seule motivation alléguée par le recourant de débuter les thérapies proposées et de se soumettre régulièrement à des contrôles ne suffit pas; l'experte a d'ailleurs rappelé que la volonté manifestée en milieu fermé, notamment de ne plus consommer d'alcool fort ou de suivre un traitement, peut vaciller une fois à l'extérieur lors de la confrontation à des situations potentiellement anxiogènes (difficultés financières, chômage, rapport à l'autorité, séparation affective, nouvelle paternité). Etant donné que les modalités d'exécution du traitement en hôpital de jour n'ont pas encore été définies (cf. "certificat médical" du Service d'addictologie du 3 juin 2013), le recourant se trouverait confronté aux circonstances rappelées ci-dessus dès sa libération, sans pouvoir bénéficier d'aucun soutien thérapeutique. En conséquence, aucune des mesures, ni aucun des contrôles - qui n'interviendraient d'ailleurs que dans une étape ultérieure - ne permettraient d'assurer que sa seule volonté parvienne à stopper, pour le moins dans cette intervalle, une réaction impulsive face à ces diverses et multiples sollicitations. Cela vaut d'autant plus que dans un premier temps, le recourant a refusé à deux reprises de rencontrer la psychiatre en vue de son expertise, démontrant ainsi qu'il n'en voyait pas l'utilité. S'il a ensuite accepté en décembre 2012 et assuré vouloir débuter un traitement en prison, il ne produit cependant aucun document sur ledit suivi. Au vu de ces considérations, la Chambre pénale de recours n'a pas violé le droit fédéral en retenant que seule la détention provisoire permettait d'exclure un risque de récidive.</w:t>
      </w:r>
    </w:p>
    <w:p>
      <w:r>
        <w:rPr>
          <w:b/>
        </w:rPr>
        <w:t>E. 5</w:t>
      </w:r>
    </w:p>
    <w:p>
      <w:r>
        <w:t>Étant donné que le risque de réitération au sens de l' art. 221 al. 1 let . c CPP est avéré en l'espèce (cf. consid. 4.2) et qu'il ne peut y être remédier par des mesures de substitution (cf. consid. 4.3), le placement en détention provisoire est justifié, de sorte qu'il n'y a pas lieu d'examiner la question du risque de fuite ou de collusion (cf. consid. 3).</w:t>
      </w:r>
    </w:p>
    <w:p>
      <w:r>
        <w:rPr>
          <w:b/>
        </w:rPr>
        <w:t>E. 6</w:t>
      </w:r>
    </w:p>
    <w:p>
      <w:r>
        <w:t>Il s'ensuit que le recours doit être rejeté. Le recourant a demandé l'assistance judiciaire et les conditions en paraissent réunies ( art. 64 al. 1 LTF ). Il y a lieu de désigner Me Robert Assael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