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1B_241/2016 vom 11. Oktober 2016</w:t>
      </w:r>
    </w:p>
    <w:p>
      <w:r>
        <w:t>Bundesgericht, 2016-10-11, DE</w:t>
      </w:r>
    </w:p>
    <w:p>
      <w:r>
        <w:rPr>
          <w:b/>
        </w:rPr>
        <w:t xml:space="preserve">Quelle: </w:t>
      </w:r>
      <w:r>
        <w:t>https://mcp.opencaselaw.ch/entscheid/bger_1B_241_2016</w:t>
      </w:r>
    </w:p>
    <w:p>
      <w:r>
        <w:t>FR: TF 1B_241/2016 du 11 octobre 2016</w:t>
      </w:r>
    </w:p>
    <w:p>
      <w:r>
        <w:t>IT: TF 1B_241/2016 del 11 ottobre 2016</w:t>
      </w:r>
    </w:p>
    <w:p>
      <w:pPr>
        <w:pStyle w:val="Heading2"/>
      </w:pPr>
      <w:r>
        <w:t>Erwägungen</w:t>
      </w:r>
    </w:p>
    <w:p>
      <w:r>
        <w:rPr>
          <w:b/>
        </w:rPr>
        <w:t>E. 1.1</w:t>
      </w:r>
    </w:p>
    <w:p>
      <w:r>
        <w:t>Beim angefochtenen Beschluss handelt es sich um einen kantonal letztinstanzlichen Entscheid über ein Gesuch um Akteneinsicht in einem Strafverfahren gestützt auf Art. 101 Abs. 2 StPO . Dieser Beschluss unterliegt der Beschwerde in Strafsachen ( Art. 78 ff. BGG ).</w:t>
      </w:r>
    </w:p>
    <w:p>
      <w:r>
        <w:rPr>
          <w:b/>
        </w:rPr>
        <w:t>E. 1.2</w:t>
      </w:r>
    </w:p>
    <w:p>
      <w:r>
        <w:t>Die beantragte Akteneinsicht dient dem Verwaltungsverfahren betreffend den Entzug der Unterrichtsberechtigung. Sie hat neben diesem bzw. neben dem hängigen Strafverfahren keine selbständige Bedeutung, vielmehr ist sie vom Bestand dieser beiden Verfahren abhängig. Wie aus den nachfolgenden Erwägungen hervorgeht, werden denn auch keine Rechtsfragen entschieden, welche im späteren Verlauf des Verfahrens nicht mehr zur Diskussion gestellt werden könnten. Der Entscheid, die Akteneinsicht zu gewähren, hat somit keinen verfahrensabschliessenden Charakter ( Art. 90 BGG ; anders verhält es sich, wenn die Akteneinsicht nicht für die Bearbeitung hängiger Zivil-, Straf- oder Verwaltungsverfahren verlangt wird, vgl. Urteil 6B_590/2007 vom 19. Dezember 2007 E. 1). Es liegt ein Zwischenentscheid im Sinne von Art. 93 BGG vor (vgl. Urteil 1B_530/2012 vom 12. November 2012 E. 2, in SJ 2013 I S. 77, wo die Frage noch offen gelassen wurde, sowie Urteil 2C_909/2008 vom 2. November 2009, E. 1.5, nicht publ. in BGE 136 II 23 , wo das Bundesgericht im Rahmen eines Amtshilfeverfahrens gestützt auf Art. 112 des Bundesgesetzes vom 14. Dezember 1990 über die direkte Bundessteuer [DBG; SR 642.11] von einem Endentscheid ausging).</w:t>
      </w:r>
    </w:p>
    <w:p>
      <w:r>
        <w:rPr>
          <w:b/>
        </w:rPr>
        <w:t>E. 1.3</w:t>
      </w:r>
    </w:p>
    <w:p>
      <w:r>
        <w:t>Genauer zu prüfen ist, ob die Sachurteilsvoraussetzungen von Art. 93 BGG erfüllt sind. Sofern sich diese nicht ohne Weiteres aus den Akten ergeben, obliegt es dem Beschwerdeführer darzulegen, inwiefern sie gegeben sind ( BGE 137 III 324 E. 1.1 S. 328 f.; 133 III 629 E. 2.3.1 und 2.4.2 S. 632 f.; je mit Hinweisen). Vorliegend fällt von vornherein ausschliesslich die Variante von Art. 93 Abs. 1 lit. a BGG in Betracht. Danach ist die Beschwerde gegen einen Zwischenentscheid zulässig, wenn dieser einen nicht wieder gutzumachenden Nachteil bewirken kann.</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140 V 321 E. 3.6 S. 326 f.; 139 IV 113 E. 1 S. 115; je mit Hinweisen).</w:t>
      </w:r>
    </w:p>
    <w:p>
      <w:r>
        <w:rPr>
          <w:b/>
        </w:rPr>
        <w:t>E. 1.4</w:t>
      </w:r>
    </w:p>
    <w:p>
      <w:r>
        <w:t>Der Beschwerdeführer bringt vor, es drohe ihm insofern ein nicht wieder gutzumachender Nachteil, als die Untersuchungsakten geeignet seien, seine berufliche Existenz zu zerstören. Zudem macht er geltend, die strafrechtlichen Vorwürfe beträfen intime Bereiche seiner Persönlichkeit. Der Hinweis der Vorinstanz auf das Amtsgeheimnis helfe nicht weiter. Wenn die Akten kopiert würden und in sein Personaldossier Eingang fänden, habe praktisch jedermann in der Erziehungsdirektion Zugriff darauf.</w:t>
      </w:r>
    </w:p>
    <w:p>
      <w:r>
        <w:rPr>
          <w:b/>
        </w:rPr>
        <w:t>E. 1.5</w:t>
      </w:r>
    </w:p>
    <w:p>
      <w:r>
        <w:t>Gemäss der Rechtsprechung begründet die Durchführung eines Strafverfahrens allein keinen Nachteil rechtlicher Natur ( BGE 133 IV 139 E. 4 S. 141; 115 Ia 311 E. 2c S. 315; Urteil 1B_100/2013 vom 29. Mai 2013 E. 1.3; je mit Hinweisen). Dasselbe gilt für die Durchführung eines Verwaltungsverfahrens. Falls jenes Verfahren zum Entzug der Unterrichtsberechtigung führen sollte, wird der Beschwerdeführer dagegen Beschwerde ans Bundesgericht erheben können. In diesem Rahmen wird er die Möglichkeit haben vorzubringen, die Akten der Strafuntersuchung rechtfertigten den Entzug der Unterrichtsberechtigung nicht und kämen einer Verdachtskündigung gleich, wie er dies in seiner Beschwerde behauptet. Ebenso wenig führen im Allgemeinen Beweismassnahmen zu einem nicht wieder gutzumachenden Nachteil (Urteil 6S.488/2004 vom 12. Mai 2005 E. 2.2 mit Hinweisen). Dass es vorliegend anders wäre, ist nicht ersichtlich: Zu Recht weist die Vorinstanz darauf hin, dass für die Erziehungsdirektion das Amtsgeheimnis gilt, sodass eine Weiterverbreitung der betreffenden Informationen ebenso unzulässig wäre wie im Strafverfahren selbst. Die Sachurteilsvoraussetzung von Art. 93 Abs. 1 lit. a BGG ist somit nicht erfüllt.</w:t>
      </w:r>
    </w:p>
    <w:p>
      <w:r>
        <w:rPr>
          <w:b/>
        </w:rPr>
        <w:t>E. 2</w:t>
      </w:r>
    </w:p>
    <w:p>
      <w:r>
        <w:t>Auf die Beschwerde ist aus den genannten Gründen nicht einzutreten.</w:t>
      </w:r>
    </w:p>
    <w:p>
      <w:r>
        <w:t>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