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240/2017 vom 7. Juli 2017</w:t>
      </w:r>
    </w:p>
    <w:p>
      <w:r>
        <w:t>Bundesgericht, 2017-07-07, DE</w:t>
      </w:r>
    </w:p>
    <w:p>
      <w:r>
        <w:rPr>
          <w:b/>
        </w:rPr>
        <w:t xml:space="preserve">Quelle: </w:t>
      </w:r>
      <w:r>
        <w:t>https://mcp.opencaselaw.ch/entscheid/bger_1B_240_2017</w:t>
      </w:r>
    </w:p>
    <w:p>
      <w:r>
        <w:t>FR: TF 1B 240/2017 du 7 juillet 2017</w:t>
      </w:r>
    </w:p>
    <w:p>
      <w:r>
        <w:t>IT: TF 1B 240/2017 del 7 luglio 2017</w:t>
      </w:r>
    </w:p>
    <w:p>
      <w:pPr>
        <w:pStyle w:val="Heading2"/>
      </w:pPr>
      <w:r>
        <w:t>Regeste</w:t>
      </w:r>
    </w:p>
    <w:p>
      <w:r>
        <w:t>Strafverfahren; Untersuchungshaft | Strafprozess</w:t>
      </w:r>
    </w:p>
    <w:p>
      <w:pPr>
        <w:pStyle w:val="Heading2"/>
      </w:pPr>
      <w:r>
        <w:t>Erwägungen</w:t>
      </w:r>
    </w:p>
    <w:p>
      <w:r>
        <w:rPr>
          <w:b/>
        </w:rPr>
        <w:t>E. 1</w:t>
      </w:r>
    </w:p>
    <w:p>
      <w:r>
        <w:t>Angefochten ist ein kantonal letztinstanzlicher Entscheid in einer strafrechtlichen Angelegenheit,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Der neue Haftverlängerungsentscheid vom 29. Juni 2017 lässt sein Rechtsschutzinteresse nicht dahinfallen, beruht dieser doch auf den gleichen tatsächlichen und rechtlichen Grundlagen wie der angefochtene Entscheid. Mit Blick auf das Beschleunigungsgebot ( Art. 5 Abs. 2 StPO , Art. 31 Abs. 4 BV , Art. 5 Ziff. 4 EMRK ) und aus Gründen der Prozessökonomie ist die Sache deshalb nicht gegenstandslos ( BGE 139 I 206 E. 1.2 S. 208 ff.; 137 IV 177 E. 2.2 S. 179 f.; Urteil 1B_393/2012 vom 24. Juli 2012 E. 1). Der Beschwerdeführer ist daher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eingetreten werden kann.</w:t>
      </w:r>
    </w:p>
    <w:p>
      <w:r>
        <w:rPr>
          <w:b/>
        </w:rPr>
        <w:t>E. 2</w:t>
      </w:r>
    </w:p>
    <w:p>
      <w:r>
        <w:t>Untersuchungs- und Sicherheitshaft sind nur zulässig, wenn die beschuldigte Person eines Verbrechens oder Vergehens dringend verdächtig ist und zudem ein besonderer Haftgrund (Flucht-, Kollusions- oder Fortsetzungsgefahr) gegeben ist ( Art. 221 Abs. 1 StPO ). An ihrer Stelle sind Ersatzmassnahmen anzuordnen, wenn sie den gleichen Zweck wie die Haft erfüllen ( Art. 212 Abs. 2 lit. c und Art. 237 ff. StPO ). Untersuchungs- und Sicherheitshaft dürfen nicht länger dauern als die zu erwartende Freiheitsstrafe ( Art. 212 Abs. 3 StPO ).</w:t>
      </w:r>
    </w:p>
    <w:p>
      <w:r>
        <w:rPr>
          <w:b/>
        </w:rPr>
        <w:t>E. 3.1</w:t>
      </w:r>
    </w:p>
    <w:p>
      <w:r>
        <w:t>Der Beschwerdeführer bestreitet den dringenden Tatverdacht nicht. Hingegen bringt er vor, es bestehe weder Flucht- noch Wiederholungsgefahr. Die Gefahr könne zudem durch die Anordnung von Ersatzmassnahmen gebannt werden.</w:t>
      </w:r>
    </w:p>
    <w:p>
      <w:r>
        <w:rPr>
          <w:b/>
        </w:rPr>
        <w:t>E. 3.2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sowie die berufliche und finanzielle Situation (vgl. Urteil 1B_400/2014 vom 8. Januar 2015 E. 2.2.1). Konkrete Anhaltspunkte für eine besondere Unberechenbarkeit und Impulsivität des Inhaftierten können ebenfalls auf eine Neigung zu unüberlegten Reaktionen wie Flucht (oder weitere Delinquenz) hinweisen (vgl. BGE 123 I 268 E. 2e S. 271 ff.).</w:t>
      </w:r>
    </w:p>
    <w:p>
      <w:r>
        <w:rPr>
          <w:b/>
        </w:rPr>
        <w:t>E. 3.3</w:t>
      </w:r>
    </w:p>
    <w:p>
      <w:r>
        <w:t>Der Beschwerdeführer hat keinen festen Wohnsitz und ist arbeitslos. Wie er in seiner Beschwerde ausführt, wolle ihn seine Familie auch nicht mehr weiter unterstützen. Andere stabilisierende soziale Bindungen sind, soweit ersichtlich, nicht vorhanden. Er bestreitet seinen Lebensunterhalt mit Diebstählen. Gemäss Strafregisterauszug ist er deswegen bereits mehrfach vorbestraft. Zudem bestehen Vorstrafen wegen Gewaltdelikten (Raub, Erpressung, Gewalt und Drohung gegen Behörden und Beamte). Hinzu kommt, dass ihm im vorliegenden Verfahren neben den anderen (von ihm teilweise eingestandenen) Delikten nun auch gewerbsmässiger Diebstahl ( Art. 139 Ziff. 1 und 2 StGB ) vorgeworfen wird. Angesichts seiner Vorstrafen hat er deshalb mit einer unbedingten und empfindlich hohen Freiheitsstrafe zu rechnen. Da er selber angibt, er brauche seinen freien Raum, die Strukturen in therapeutischen Massnahmezentren seien ihm zu engmaschig, sind Impulshandlungen oder unüberlegte Reaktionen wie Flucht wahrscheinlich, zumal er bereits in der Vergangenheit aus einer psychiatrischen Klinik geflohen ist (vgl. S. 7 der Beschwerde). Mit Blick auf die gesamten konkreten Verhältnisse besteht eine erhebliche Wahrscheinlichkeit, dass der Beschwerdeführer sich durch Untertauchen in der Schweiz der zu erwartenden Sanktion entziehen würde. Der besondere Haftgrund der Fluchtgefahr ist, wie die Vorinstanz zutreffend erkannt hat, zu bejahen. Bei diesem Ergebnis kann daher offen bleiben, ob auch Wiederholungsgefahr besteht.</w:t>
      </w:r>
    </w:p>
    <w:p>
      <w:r>
        <w:rPr>
          <w:b/>
        </w:rPr>
        <w:t>E. 3.4</w:t>
      </w:r>
    </w:p>
    <w:p>
      <w:r>
        <w:t>Auch wenn der Beschwerdeführer dies zu relativieren versucht, ist er nicht gewillt, sich an Auflagen halten (vgl. S. 6 der Beschwerde: "Ich habe min. 50 Prozent der Auflagen eingehalten, eine Zeit lang."). Mit Entscheid vom 26. April 2017 ordnete die Vorinstanz gegenüber dem Beschwerdeführer eine Ausweis- und Schriftensperre (zur Bannung der Fluchtgefahr ins Ausland) sowie eine persönliche Meldepflicht bei der Staatsanwaltschaft Baden (jeden Montag und Donnerstag, unter jeweiliger Angabe der aktuellen Kontaktdaten) an. Der persönlichen Meldepflicht kam er bereits am 2. Mai 2017 nicht mehr nach, sondern meldete sich bloss telefonisch bei der Staatsanwaltschaft, wobei er sich weigerte, Angabe über seinen Aufenthaltsort und über allfällige Kontaktpersonen zu machen. Am gleichen Tag beging er einen weiteren Einbruch, bei dem er in flagranti verhaftet wurde. Mit Blick auf die dem Beschwerdeführer zur Last gelegten Vorwürfe und die bei einer Verurteilung zu erwartenden Strafe hält die Einschätzung der Vorinstanz, dass die Fluchtgefahr mit blossen Ersatzmassnahmen für Haft nicht (mehr) ausreichend gebannt werden könne, vor Bundesrecht stand.</w:t>
      </w:r>
    </w:p>
    <w:p>
      <w:r>
        <w:rPr>
          <w:b/>
        </w:rPr>
        <w:t>E. 3.5</w:t>
      </w:r>
    </w:p>
    <w:p>
      <w:r>
        <w:t>Die angeordnete Untersuchungshaft erscheint auch in zeitlicher Hinsicht verhältnismässig. Es droht keine Überhaft.</w:t>
      </w:r>
    </w:p>
    <w:p>
      <w:r>
        <w:rPr>
          <w:b/>
        </w:rPr>
        <w:t>E. 4</w:t>
      </w:r>
    </w:p>
    <w:p>
      <w:r>
        <w:t>Nach dem Gesagten erweist sich der Haftentlassungsantrag des Beschwerdeführers als unbegründet. Die Beschwerde ist abzuweisen. Da die Untersuchungshaft einen schweren Eingriff in die persönliche Freiheit darstellt, konnte sich der offensichtlich bedürftige Beschwerdeführer zur Beschwerde veranlasst sehen. Aufgrund der Umstände erscheint es gerechtfertigt,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