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1B_240/2011 vom 28. Juni 2011</w:t>
      </w:r>
    </w:p>
    <w:p>
      <w:r>
        <w:t>Bundesgericht, 2011-06-28, FR</w:t>
      </w:r>
    </w:p>
    <w:p>
      <w:r>
        <w:rPr>
          <w:b/>
        </w:rPr>
        <w:t xml:space="preserve">Quelle: </w:t>
      </w:r>
      <w:r>
        <w:t>https://mcp.opencaselaw.ch/entscheid/bger_1B_240_2011</w:t>
      </w:r>
    </w:p>
    <w:p>
      <w:r>
        <w:t>FR: TF 1B_240/2011 du 28 juin 2011</w:t>
      </w:r>
    </w:p>
    <w:p>
      <w:r>
        <w:t>IT: TF 1B_240/2011 del 28 giugno 2011</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La contestation portant sur la procédure d'opposition en matière pénale, le recours au Tribunal fédéral est régi par les art. 78 ss LTF . Conformément à l'art. 81 al. 1 let. b ch. 3 LTF, l'accusateur public a en principe la qualité pour recourir ( ATF 137 IV 22 consid. 1 p. 23; 134 IV 36 consid. 1.4.3 p. 40 s.). Le Ministère public central du canton de Vaud est habilité à recourir, même si c'est le Ministère public de l'arrondissement du Nord vaudois qui a pris part à la procédure devant les instances précédentes (cf. ATF 134 IV 36 consid. 1.3 p. 38 s.; arrêt 1B_195/2011 du 28 juin 2011, consid. 1.1).</w:t>
      </w:r>
    </w:p>
    <w:p>
      <w:r>
        <w:rPr>
          <w:b/>
        </w:rPr>
        <w:t>E. 1.2</w:t>
      </w:r>
    </w:p>
    <w:p>
      <w:r>
        <w:t>La décision attaquée constitue une décision incidente, qui ne met pas fin à la procédure. Contrairement à ce que soutient le ministère public recourant, cette décision ne porte pas sur une question de compétence. Elle se limite en effet à renvoyer la cause au ministère public pour qu'il effectue un acte d'instruction qui lui incombe en vertu de l' art. 355 al. 1 CPP . La compétence du ministère public n'est aucunement litigieuse et elle se distingue de la question de savoir si cette autorité peut ou non se dispenser d'administrer l'acte en question. En définitive, la décision attaquée ne porte pas sur la compétence et n'entre dès lors pas dans le champ d'application de l' art. 92 LTF .</w:t>
      </w:r>
    </w:p>
    <w:p>
      <w:r>
        <w:rPr>
          <w:b/>
        </w:rPr>
        <w:t>E. 1.3</w:t>
      </w:r>
    </w:p>
    <w:p>
      <w:r>
        <w:t>La décision litigieuse étant une décision incidente prise séparément au sens de l' art. 93 al. 1 LTF , elle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p. 292). Quant à l' art. 93 al. 1 let. a LTF , il suppose, en matière pénale, que la partie recourante soit exposée à un dommage de nature juridique, qui ne puisse pas être réparé ultérieurement par un jugement final ou une autre décision qui lui serait favorable ( ATF 136 IV 92 consid. 4 p. 95; 134 I 83 consid. 3.1 p. 86 s.; 133 IV 335 consid. 4 p. 338; 139 consid. 4 p. 141). Un dommage de pur fait, comme la prolongation de la procédure ou un accroissement des frais de celle-ci, n'est en principe pas considéré comme irréparable ( ATF 136 IV 92 consid. 4 p. 95 et les arrêts cités). Cela vaut en particulier pour les arrêts de renvoi, notamment ceux qui entraînent des compléments d'instruction en matière pénale ( ATF 133 IV 139 consid. 4 p. 141, 121 consid. 1.3 p. 125).</w:t>
      </w:r>
    </w:p>
    <w:p>
      <w:r>
        <w:t>Ces exigences valent également lorsque le recours est formé par le ministère public (cf. arrêts 1B_242/2008 du 11 novembre 2008, consid. 3; 1B_270/2009 du 12 novembre 2009, consid. 1.1.; 1B_32/2010 du 10 mai 2010, consid. 1; 1B_301/2009 du 31 mars 2010, consid. 1). En l'espèce, le recourant soutient que la décision de lui renvoyer la cause pour complément d'instruction porte atteinte au principe de la célérité, causant ainsi un préjudice irréparable. Il est cependant constant que la prolongation de la procédure ne constitue en principe pas un préjudice juridique irréparable au sens de la jurisprudence susmentionnée. Au demeurant, la décision litigieuse n'est pas de nature à rallonger la procédure de manière significative, puisque le moyen de preuve à administrer semble se limiter à une nouvelle audition du prévenu. Le principe de célérité aurait du reste été mieux respecté si le ministère public avait d'emblée accepté de procéder à l'audition requise. A la lecture du recours, on comprend par ailleurs que le recourant semble craindre un ralentissement de toutes les autres procédures faisant l'objet d'une opposition du prévenu. Or, une telle conséquence, voire une éventuelle augmentation de la charge de travail du ministère public en raison de cas similaires, ne constituent pas non plus des dommages juridiques irréparables au sens de l' art. 93 al. 1 let. a LTF (arrêt 1B_242/2008 du 11 novembre 2008, consid. 3.5).</w:t>
      </w:r>
    </w:p>
    <w:p>
      <w:r>
        <w:rPr>
          <w:b/>
        </w:rPr>
        <w:t>E. 2</w:t>
      </w:r>
    </w:p>
    <w:p>
      <w:r>
        <w:t>Il s'ensuit que le recours doit être déclaré irrecevable. Il n'y a pas lieu de percevoir des frais judiciaires ( art. 66 al. 4 LTF ). L'intimé n'ayant pas été invité à se déterminer,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