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240/2007 vom 3. Dezember 2007</w:t>
      </w:r>
    </w:p>
    <w:p>
      <w:r>
        <w:t>Bundesgericht, 2007-12-03, FR</w:t>
      </w:r>
    </w:p>
    <w:p>
      <w:r>
        <w:rPr>
          <w:b/>
        </w:rPr>
        <w:t xml:space="preserve">Quelle: </w:t>
      </w:r>
      <w:r>
        <w:t>https://mcp.opencaselaw.ch/entscheid/bger_1B_240_2007</w:t>
      </w:r>
    </w:p>
    <w:p>
      <w:r>
        <w:t>FR: TF 1B 240/2007 du 3 décembre 2007</w:t>
      </w:r>
    </w:p>
    <w:p>
      <w:r>
        <w:t>IT: TF 1B 240/2007 del 3 dicembre 2007</w:t>
      </w:r>
    </w:p>
    <w:p>
      <w:pPr>
        <w:pStyle w:val="Heading2"/>
      </w:pPr>
      <w:r>
        <w:t>Regeste</w:t>
      </w:r>
    </w:p>
    <w:p>
      <w:r>
        <w:t>procédure pénale | Procédure pénale</w:t>
      </w:r>
    </w:p>
    <w:p>
      <w:pPr>
        <w:pStyle w:val="Heading2"/>
      </w:pPr>
      <w:r>
        <w:t>Erwägungen</w:t>
      </w:r>
    </w:p>
    <w:p>
      <w:r>
        <w:rPr>
          <w:b/>
        </w:rPr>
        <w:t>E. 1</w:t>
      </w:r>
    </w:p>
    <w:p>
      <w:r>
        <w:t>Dans la cause pénale, la décision attaquée est une décision incidente, qui ne met pas fin à la procédure. Le recours en matière pénale contre une décision incidente n'est recevable qu'aux conditions de l' art. 93 al. 1 LTF .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 D'après la jurisprudence récente du Tribunal fédéral, dans la procédure de recours en matière pénale, la notion de préjudice irréparable ( art. 93 al. 1 let. a LTF ) correspond à celle de l'art. 87 al. 2 de l'ancienne loi d'organisation judiciaire (OJ), qui soumettait à la même condition la recevabilité du recours de droit public contre de telles décisions incidentes ( ATF 133 IV 139 consid. 4 p. 141; arrêt 1B_210/2007 du 16 octobre 2007, destiné à la publication, consid. 2.1). Selon la jurisprudence relative à l' art. 87 al. 2 OJ , il doit s'agir d'un dommage de nature juridique, qui ne puisse pas être réparé ultérieurement par un jugement final ou une autre décision favorable au recourant (notamment ATF 131 I 57 consid. 1 p. 59; 127 I 92 consid. 1c p. 94 et les arrêts cités).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Ainsi, le recours n'est en principe pas recevable contre une ordonnance de renvoi car le renvoi en jugement au terme d'une instruction pénale ne cause pas un dommage de nature juridique ( ATF 133 IV 139 consid. 4 p. 141 et les arrêts cités). Le recourant invoque sa situation spéciale: le renvoi d'un avocat devant un tribunal correctionnel, en raison d'une activité qu'il a eue comme mandataire, aurait un retentissement négatif particulier car les "hommes de loi" du canton déduiraient de cette ordonnance des indices de culpabilité; ces conséquences négatives subsisteraient même après un acquittement. Par son argumentation, le recourant se prévaut d'inconvénients qui ne sont pas de nature juridique au sens de la jurisprudence précitée. Au demeurant, il n'est pas exclu que les "hommes de loi", connaissant la portée juridique d'une ordonnance de renvoi ainsi que le sens de la présomption d'innocence, n'auront pas à l'égard du recourant l'attitude qu'il dénonce. Le recours, en l'absence de préjudice irréparable, est donc irrecevable en vertu de l' art. 93 al. 1 let. a LTF .</w:t>
      </w:r>
    </w:p>
    <w:p>
      <w:r>
        <w:rPr>
          <w:b/>
        </w:rPr>
        <w:t>E. 2</w:t>
      </w:r>
    </w:p>
    <w:p>
      <w:r>
        <w:t>Le recourant, qui succombe, doit supporter les frais du présent arrêt (art. 65 al. 1 et 66 al. 1 LTF). Les parties intimées, qui n'ont pas été invitées à se déterminer,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