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23/2020 vom 17. März 2020</w:t>
      </w:r>
    </w:p>
    <w:p>
      <w:r>
        <w:t>Bundesgericht, 2020-03-17, FR</w:t>
      </w:r>
    </w:p>
    <w:p>
      <w:r>
        <w:rPr>
          <w:b/>
        </w:rPr>
        <w:t xml:space="preserve">Quelle: </w:t>
      </w:r>
      <w:r>
        <w:t>https://mcp.opencaselaw.ch/entscheid/bger_1B_23_2020</w:t>
      </w:r>
    </w:p>
    <w:p>
      <w:r>
        <w:t>FR: TF 1B 23/2020 du 17 mars 2020</w:t>
      </w:r>
    </w:p>
    <w:p>
      <w:r>
        <w:t>IT: TF 1B 23/2020 del 17 marzo 2020</w:t>
      </w:r>
    </w:p>
    <w:p>
      <w:pPr>
        <w:pStyle w:val="Heading2"/>
      </w:pPr>
      <w:r>
        <w:t>Regeste</w:t>
      </w:r>
    </w:p>
    <w:p>
      <w:r>
        <w:t>Procédure pénale; assistance judiciaire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1B_49/2019 du 20 mai 2019 consid. 1). Aux termes de l'art. 81 al. 1 let. a et b ch. 5 LTF, la partie plaignante qui a participé à la procédure de dernière instance cantonale est habilitée à recourir au Tribunal fédéral si la décision attaquée peut avoir des effets sur le jugement de ses prétentions civiles. La qualité pour recourir doit aussi être reconnue à la partie qui invoque une violation de ses droits de procédure lorsque cette violation équivaut à un déni de justice formel ( ATF 141 IV 1 consid. 1.1 p. 5). Il en va notamment ainsi du droit à l'assistance judiciaire. Ce droit étant reconnu à la partie plaignante aux conditions de l' art. 136 CPP , celle-ci est recevable à se plaindre du fait que l'assistance judiciaire lui a été refusée (arrêts 1B_49/2019 précité consid. 1; 1B_245/2017 du 23 août 2017 consid. 1 et les arrêts cités). Pour le surplus, le recours a été déposé en temps utile (art. 46 al. 1 let. b, 48 al. 2 et 100 al. 1 LTF) contre une décision rendue par une autorité cantonale de dernière instance ( art. 80 LTF ). Partant, il y a lieu d'entrer en matière.</w:t>
      </w:r>
    </w:p>
    <w:p>
      <w:r>
        <w:rPr>
          <w:b/>
        </w:rPr>
        <w:t>E. 2</w:t>
      </w:r>
    </w:p>
    <w:p>
      <w:r>
        <w:t>Invoquant des violations des art. 29 al. 3 Cst. et 136 CPP, la recourante se plaint que le bénéfice de l'assistance judiciaire gratuite lui a été refusée.</w:t>
      </w:r>
    </w:p>
    <w:p>
      <w:r>
        <w:rPr>
          <w:b/>
        </w:rPr>
        <w:t>E. 2.1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L' art. 136 CPP concrétise les conditions d'octroi de l'assistance judiciaire pour la partie plaignante dans un procès pénal. Selon l' art. 136 al. 1 CPP ,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 art. 136 al. 2 let. a CPP ),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w:t>
      </w:r>
    </w:p>
    <w:p>
      <w:r>
        <w:rPr>
          <w:b/>
        </w:rPr>
        <w:t>E. 2.2</w:t>
      </w:r>
    </w:p>
    <w:p>
      <w:r>
        <w:t>En l'espèce, la cour cantonale a reconnu, sans que cela ne soit remis en cause par les parties, que la recourante était indigente et que ses prétentions civiles, certes non encore formellement déposées, n'apparaissaient pas vouées à l'échec (cf. arrêt entrepris, consid. 3.5 p. 7). La cour cantonale a en revanche nié que la défense des intérêts de la recourante exigeait qu'elle fût mise au bénéfice d'un conseil juridique gratuit (cf. arrêt entrepris, ibidem ), ce que l'intéressée conteste.</w:t>
      </w:r>
    </w:p>
    <w:p>
      <w:r>
        <w:rPr>
          <w:b/>
        </w:rPr>
        <w:t>E. 2.2.1</w:t>
      </w:r>
    </w:p>
    <w:p>
      <w:r>
        <w:t>Selon les critères déduits de l' 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 ATF 123 I 145 consid. 2b/bb p. 147, repris dans le Message du 21 décembre 2005 relatif à l'unification de la procédure pénale, FF 2006 1160; cf. également arrêts 1B_39/2019 du 20 mars 2019 consid. 2.4; 1B_450/2015 du 22 avril 2016 consid. 2.3 et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p. 147 et 3a/bb p. 149 s.; arrêts 1B_39/2019 du 20 mars 2019 consid. 2.4; 1B_314/2016 du 28 septembre 2016 consid. 2.1).</w:t>
      </w:r>
    </w:p>
    <w:p>
      <w:r>
        <w:rPr>
          <w:b/>
        </w:rPr>
        <w:t>E. 2.2.2</w:t>
      </w:r>
    </w:p>
    <w:p>
      <w:r>
        <w:t>Par le dépôt de ses plaintes pénales successives, la recourante avait porté à la connaissance du Ministère public divers comportements de son ex-compagnon, qui, depuis leur séparation en juin 2018, n'aurait cessé de s'en prendre à elle, la harcelant constamment, notamment par des messages injurieux ou par le fait de l'attendre parfois à proximité de son domicile. En particulier, elle lui reprochait de l'avoir menacée de mort à plusieurs reprises, en lui disant par exemple qu'il "aura[it] sa peau", qu'il ne la "lâchera[it] jamais" et qu'il allait "l'écraser jusqu'à ce [qu'elle soit] morte", ayant feint à une occasion de passer à l'acte en dirigeant son véhicule dans sa direction. Les menaces du prévenu auraient également visé la mère de la recourante, dès lors qu'il aurait déclaré vouloir engager un tueur à gage pour la supprimer. Parmi les actes dénoncés figuraient aussi les circonstances dans lesquelles son ex-compagnon aurait requis, sans son accord, de nouveaux documents d'identité pour ses enfants et les aurait emmenés durant plusieurs jours en France, sans donner de nouvelles autres que quelques photographies, alors qu'elle en avait la garde exclusive. Dans ce contexte, elle a encore allégué que son ex-compagnon mettait régulièrement en danger le développement de ses enfants en annulant des rendez-vous médicaux importants ou en refusant de les y emmener. La recourante reprochait aussi au prévenu d'avoir usurpé son identité en confectionnant un montage de sa carte d'identité et en effectuant des achats à son nom. A cet égard, elle a signalé que l'Office cantonal de la population et des migrations l'avait informée d'une demande de changement d'adresse concernant ses enfants qui portait sa signature, mais qu'elle n'aurait jamais signée. Les plaintes avaient encore trait à la notification d'un commandement de payer portant sur une créance sans fondement ainsi qu'à un éventuel accès indu aux données de son téléphone portable, la recourante faisant grief au prévenu d'avoir utilisé son identifiant Apple , de sorte qu'il aurait été en mesure d'intervenir dans sa messagerie. Enfin, elle avait relaté que le prévenu lui aurait craché dessus à une reprise, qu'il aurait donné des coups de poing et de pied sur sa voiture et qu'il aurait arraché la porte de sa cave (cf. arrêt entrepris, let. B.b p. 2).</w:t>
      </w:r>
    </w:p>
    <w:p>
      <w:r>
        <w:rPr>
          <w:b/>
        </w:rPr>
        <w:t>E. 2.3</w:t>
      </w:r>
    </w:p>
    <w:p>
      <w:r>
        <w:t>Les divers faits relatés par la recourante, dont la vraisemblance peut en partie être déduite des photographies et des nombreux messages privés produits au dossier cantonal, s'inscrivent dans le contexte d'une séparation apparemment très conflictuelle, reflétant un acharnement particulier de l'auteur dénoncé durant, à tout le moins, plusieurs mois et impliquant de surcroît des enfants mineurs. Ainsi, au regard des comportements en cause, les infractions susceptibles d'entrer en considération sont nombreuses et concernent des biens juridiques différents, rendant d'autant plus difficile la détermination du préjudice relatif à d'éventuelles atteintes illicites à la personnalité qui auraient été subies par la partie plaignante. Dans ce contexte, il y a lieu d'admettre que la cause revêt une complexité suffisante, tant en fait qu'en droit, pour justifier le besoin de la recourante d'être assistée par un conseil juridique. Il n'est pas décisif en l'occurrence que le prévenu n'ait jusqu'alors pas agi avec l'assistance d'un défenseur.</w:t>
      </w:r>
    </w:p>
    <w:p>
      <w:r>
        <w:rPr>
          <w:b/>
        </w:rPr>
        <w:t>E. 2.4</w:t>
      </w:r>
    </w:p>
    <w:p>
      <w:r>
        <w:t>L'octroi de l'assistance judiciaire rétroagit en principe au jour du dépôt de la demande, sous réserve de démarches urgentes entreprises peu de temps avant ( ATF 122 I 203 consid. 2f p. 208; arrêt 1B_205/2019 du 14 juin 2019 consid. 5 et les références citées). Dans la mesure où il peut être déduit du dossier cantonal que la première demande d'assistance judiciaire de la recourante avait été formée le 15 octobre 2018 (cf. recours du 23 avril 2019, p. 2) et étant donné que l'indigence de la recourante, de même que les chances de succès de son action civile, avaient déjà été reconnues comme avérées dans l'arrêt de la cour cantonale du 10 juillet 2019 rejetant cette première demande (cf. arrêt entrepris, let. B.h p. 4), il y a lieu d'admettre que le bénéfice de l'assistance judiciaire doive prendre rétroactivement effet, selon les conclusions prises, dès le 12 septembre 2018, couvrant ainsi déjà les démarches liées au dépôt de la première plainte pénale, qui paraît avoir été déposée dans l'urgence.</w:t>
      </w:r>
    </w:p>
    <w:p>
      <w:r>
        <w:rPr>
          <w:b/>
        </w:rPr>
        <w:t>E. 3</w:t>
      </w:r>
    </w:p>
    <w:p>
      <w:r>
        <w:t>Il résulte de ce qui précède que le recours doit être admis. L'arrêt du 25 novembre 2019 de la Chambre pénale de recours est annulé et la cause renvoyée à l'autorité précédente pour nouvelle décision au sens des considérants. La recourante, qui obtient gain de cause avec l'assistance d'un mandataire professionnel, a droit à des dépens à la charge du canton de Genève (art. 68 a. 1 LTF). Il n'est pas perçu de frais judiciaires ( art. 66 al. 4 LTF ).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