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23/2012 vom 2. April 2012</w:t>
      </w:r>
    </w:p>
    <w:p>
      <w:r>
        <w:t>Bundesgericht, 2012-04-02, FR</w:t>
      </w:r>
    </w:p>
    <w:p>
      <w:r>
        <w:rPr>
          <w:b/>
        </w:rPr>
        <w:t xml:space="preserve">Quelle: </w:t>
      </w:r>
      <w:r>
        <w:t>https://mcp.opencaselaw.ch/entscheid/bger_1B_23_2012</w:t>
      </w:r>
    </w:p>
    <w:p>
      <w:r>
        <w:t>FR: TF 1B 23/2012 du 2 avril 2012</w:t>
      </w:r>
    </w:p>
    <w:p>
      <w:r>
        <w:t>IT: TF 1B 23/2012 del 2 aprile 2012</w:t>
      </w:r>
    </w:p>
    <w:p>
      <w:pPr>
        <w:pStyle w:val="Heading2"/>
      </w:pPr>
      <w:r>
        <w:t>Regeste</w:t>
      </w:r>
    </w:p>
    <w:p>
      <w:r>
        <w:t>procédure pénale, non-entrée en matière | Procédure pénale</w:t>
      </w:r>
    </w:p>
    <w:p>
      <w:pPr>
        <w:pStyle w:val="Heading2"/>
      </w:pPr>
      <w:r>
        <w:t>Erwägungen</w:t>
      </w:r>
    </w:p>
    <w:p>
      <w:r>
        <w:rPr>
          <w:b/>
        </w:rPr>
        <w:t>E. 1.1</w:t>
      </w:r>
    </w:p>
    <w:p>
      <w:r>
        <w:t>Dirigé contre un arrêt confirmant une décision de non-entrée en matière au sens de l' art. 310 CPP , le recours est en principe recevable comme recours en matière pénale ( art. 78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classement de l'action pénale,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1.3</w:t>
      </w:r>
    </w:p>
    <w:p>
      <w:r>
        <w:t>En l'espèce, la recourante a déposé plainte contre Y.________ notamment pour utilisation abusive d'une installation de télécommunication. En cas d'ouverture de l'action pénale, elle entend élever à l'encontre de ce dernier des prétentions en réparation de son tort moral. Elle envisage de réclamer une indemnité d'environ 3'000 fr. pour atteinte illicite à sa personnalité "suite au sentiment d'insécurité et aux désagréments causés par l'intrusion dans son système informatique personnel". Il n'est pas manifeste que les contrariétés dont se plaint la recourante représentent une atteinte objectivement grave à sa personnalité au sens de l' art. 49 CO (à propos de l'indemnité pour tort moral, cf. ATF 130 III 699 consid. 5.1 p. 704 et les références); celle-ci ne prétend en particulier pas avoir ressenti des souffrances morales à la suite des actes incriminés. La question de savoir si la décision litigieuse pourrait avoir une incidence négative sur le jugement des prétentions civiles de la recourante peut néanmoins rester indécise, tout comme celle relative à sa qualité pour agir, puisque le recours doit de toute façon être rejeté au fond pour les motifs qui suivent.</w:t>
      </w:r>
    </w:p>
    <w:p>
      <w:r>
        <w:rPr>
          <w:b/>
        </w:rPr>
        <w:t>E. 2</w:t>
      </w:r>
    </w:p>
    <w:p>
      <w:r>
        <w:t>Alléguant une violation des art. 6, 7 et 310 CPP , la recourante estime qu'il incombait au Ministère public d'ouvrir une instruction pour éclaircir et déterminer les points obscurs entourant les faits qu'elle avait dénoncés. Le Ministère public avait en effet des indices suffisants de la commission d'une infraction pénale, à savoir de la violation de l' art. 143bis CP , ainsi que les moyens techniques à disposition pour confondre l'auteur de l'accès indu à son compte.</w:t>
      </w:r>
    </w:p>
    <w:p>
      <w:r>
        <w:rPr>
          <w:b/>
        </w:rPr>
        <w:t>E. 2.1</w:t>
      </w:r>
    </w:p>
    <w:p>
      <w:r>
        <w:t>En vertu de l' art. 6 al. 1 CPP , les autorités pénales recherchent d'office tous les faits pertinents pour la qualification de l'acte et le jugement du prévenu. Par ailleurs, selon l' art. 7 al. 1 CPP , elles sont tenues, dans les limites de leurs compétences, d'ouvrir et de conduire une procédure lorsqu'elles ont connaissance d'infractions ou d'indices permettant de présumer l'existence d'infractions. Aux termes de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Dans le cas particulier, la Cour de justice a relevé qu'en dépit de l'avis d'un spécialiste qu'elle avait mandaté pour examiner la question, la recourante n'avait produit aucun élément permettant d'incriminer le prévenu de cette intrusion dans son système informatique. Les juges cantonaux ne voyaient pas en quoi une enquête du Ministère public arriverait à un constat technique différent, ce que la recourante n'alléguait du reste pas. Ce raisonnement ne prête pas le flanc à la critique. Dans son attestation du 21 février 2011, l'informaticien mis en oeuvre par la recourante estime qu'"il existe une forte probabilité qu'un accès webmail sur les comptes puisse être établi"; après avoir décrit les actes dont se plaignait la recourante (disparition de mails sur son iMac), il indique que "ceci ressemble beaucoup à un piratage via un accès webmail". L'informaticien n'affirme cependant pas catégoriquement qu'il s'agit d'un acte criminel, ni ne laisse entendre qu'il serait possible de retrouver l'éventuel responsable de ce "piratage". Dès lors, il n'apparaît guère envisageable d'établir la réalisation des éléments constitutifs de l'infraction dénoncée et encore moins l'identité de l'auteur présumé, de sorte que l'autorité compétente n'a pas violé les art. 6 al. 1, 7 al. 1 et 310 al. 1 let. a CPP en décidant de ne pas entrer en matière sur la plainte de la recourante. Pour le surplus, il peut être renvoyé aux considérants pertinents de l'arrêt attaqué sur ce point (cf. art. 109 al. 3 LTF ).</w:t>
      </w:r>
    </w:p>
    <w:p>
      <w:r>
        <w:rPr>
          <w:b/>
        </w:rPr>
        <w:t>E. 3</w:t>
      </w:r>
    </w:p>
    <w:p>
      <w:r>
        <w:t>Il s'ensuit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