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1B_239/2015 vom 29. September 2015</w:t>
      </w:r>
    </w:p>
    <w:p>
      <w:r>
        <w:t>Bundesgericht, 2015-09-29, FR</w:t>
      </w:r>
    </w:p>
    <w:p>
      <w:r>
        <w:rPr>
          <w:b/>
        </w:rPr>
        <w:t xml:space="preserve">Quelle: </w:t>
      </w:r>
      <w:r>
        <w:t>https://mcp.opencaselaw.ch/entscheid/bger_1B_239_2015</w:t>
      </w:r>
    </w:p>
    <w:p>
      <w:r>
        <w:t>FR: TF 1B_239/2015 du 29 septembre 2015</w:t>
      </w:r>
    </w:p>
    <w:p>
      <w:r>
        <w:t>IT: TF 1B_239/2015 del 29 settembre 2015</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En tant qu'il a vu rejetées ses conclusions en constatation du caractère irrégulier de sa détention, le recourant a intérêt à l'annulation de l'arrêt attaqué.</w:t>
      </w:r>
    </w:p>
    <w:p>
      <w:r>
        <w:t>Les autres conditions de recevabilité ne posent pas de question particulière, de sorte qu'il convient d'entrer en matière.</w:t>
      </w:r>
    </w:p>
    <w:p>
      <w:r>
        <w:rPr>
          <w:b/>
        </w:rPr>
        <w:t>E. 2</w:t>
      </w:r>
    </w:p>
    <w:p>
      <w:r>
        <w:t>. Ses conditions de détention ont donc été contraires à l' art. 3 CEDH pendant 328 jours.</w:t>
      </w:r>
    </w:p>
    <w:p>
      <w:r>
        <w:rPr>
          <w:b/>
        </w:rPr>
        <w:t>E. 2.1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La Constitution genevoise prévoit aussi que la torture et tout autre traitement ou peine cruels, inhumains ou dégradants sont interdits ( art. 18 al. 2 Cst./GE ) et que la dignité humaine est inviolable ( art. 14 al. 1 Cst./GE ).</w:t>
      </w:r>
    </w:p>
    <w:p>
      <w:r>
        <w:t>Au niveau législatif, l' art. 3 al. 1 CPP rappelle le principe du respect de la dignité humaine.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(sur l'exécution de la détention, voir MATTHIAS HÄRRI, Basler Kommentar, Schweizerische Strafprozessordnung, 2010, ad art. 234 et 235 CPP ).</w:t>
      </w:r>
    </w:p>
    <w:p>
      <w:r>
        <w:t>Dans le canton de Genève, les droits et les obligations des détenus sont définis par le règlement sur le régime intérieur de la prison et le statut des personnes incarcérées du 30 septembre 1985 (RRIP; RSG F 1 50.04) : ainsi,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règlement précité ne contient en revanche aucune disposition plus précise concernant l'aménagement, l'équipement, la dimension des cellules ou la surface dont doit bénéficier chaque détenu à l'intérieur de celles-ci.</w:t>
      </w:r>
    </w:p>
    <w:p>
      <w:r>
        <w:rPr>
          <w:b/>
        </w:rPr>
        <w:t>E. 2.2</w:t>
      </w:r>
    </w:p>
    <w:p>
      <w:r>
        <w:t>Le Comité des Ministres du Conseil de l'Europe, en application de l'art. 15 (b) du Statut du Conseil de l'Europe (RS 0.192.030), a adopté le 11 janvier 2006 la Recommandation Rec (2006) 2 sur les Règles pénitentiaires européennes (RPE), lesquelles s'inscrivent dans les précédentes recommandations établies dès 1989.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les fenêtres doivent être suffisamment grandes pour que les détenus puissent lire et travailler à la lumière naturelle dans des conditions normales, et pour permettre l'entrée d'air frais, sauf s'il existe un système de climatisation approprié (art. 18.2.a); la lumière artificielle doit être conforme aux normes techniques reconnues en la matière (art. 18.2.b); les locaux d'une prison doivent être maintenus en état et propres à tout moment (art. 19.1); les détenus doivent jouir d'un accès facile à des installations sanitaires hygiéniques et protégeant leur intimité (art. 19.3); les installations de bain et de douche doivent être suffisantes pour que chaque détenu puisse les utiliser à une température adaptée au climat (art. 19.4); chaque détenu doit disposer d'un lit séparé et d'une literie individuelle convenable, entretenue correctement et renouvelée à des intervalles suffisamment rapprochés pour en assurer la propreté (art. 21);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w:t>
      </w:r>
    </w:p>
    <w:p>
      <w:r>
        <w:t>Ces règles ont été précisées dans un Commentaire établi par le Comité européen pour la prévention de la torture et des peines ou traitements inhumains ou dégradants (ci-après: CPT). S'agissant des conditions de logement, le CPT a arrêté quelques standards minimaux: l'espace au sol disponible est estimé à 4 m</w:t>
      </w:r>
    </w:p>
    <w:p>
      <w:r>
        <w:rPr>
          <w:b/>
        </w:rPr>
        <w:t>E. 2.3</w:t>
      </w:r>
    </w:p>
    <w:p>
      <w:r>
        <w:t>La Cour européenne des droits de l'homme a aussi été amenée à statuer sur les conditions de détention dans des arrêts, que la Suisse s'est engagée à respecter ( art. 46 ch. 1 CEDH et 122 LTF). Il ressort de la jurisprudence de la CourEDH que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 ATF 140 I 125 consid. 3.4 et 3.5 p. 134-136 et les références citées; pour un résumé des arrêts de la CourEDH en la matière, voir DAMIEN SCALIA, Droit international de la détention, 2015, p. 150 ss.). Pour atteindre le minimum de gravité requis, plusieurs éléments préjudiciables doivent être combinés ( BÉATRICE BELDA, L'innovante protection des droits du détenu élaborée par le juge européen des droits de l'homme, AJDA 2009 p. 409). Un simple inconfort ne suffit pas ( HOTTELIER/MOCK/ PUÉCHAVY, La Suisse devant la Cour européenne des droits de l'homme, 2011, p. 94).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(cf. les nombreux arrêts cités dans l'opinion dissidente des Juges Zagrebelsky et Jociené de l'affaire</w:t>
      </w:r>
    </w:p>
    <w:p>
      <w:r>
        <w:t>Sulejmanovic contre Italie du 6 novembre 2009; pour une synthèse de cette jurisprudence: KARPENSTEIN/MAYER, EMRK-Kommentar, Munich 2012, n. 13 ad art. 3).</w:t>
      </w:r>
    </w:p>
    <w:p>
      <w:r>
        <w:rPr>
          <w:b/>
        </w:rPr>
        <w:t>E. 2.4</w:t>
      </w:r>
    </w:p>
    <w:p>
      <w:r>
        <w:t>S'agissant de la jurisprudence fédérale relative aux conditions de détention, le Tribunal fédéral a jugé qu'en cas de surpopulation carcérale telle que la connaît la prison de Champ-Dollon, l'occupation d'une cellule dite individuelle par trois détenus - chacun disposant d'un espace individuel de 4 m</w:t>
      </w:r>
    </w:p>
    <w:p>
      <w:r>
        <w:rPr>
          <w:b/>
        </w:rPr>
        <w:t>E. 2.5</w:t>
      </w:r>
    </w:p>
    <w:p>
      <w:r>
        <w:t>En l'occurrence, le 2 décembre 2014, le Directeur de la prison a établi, à la requête du Tmc, un rapport relatif aux conditions de détention du recourant. Il en ressort que les cellules dites individuelles ont été équipées, entre le 2 et le 30 septembre 2013, de deux lits voire trois (dont un lit rabattable); en présence d'un troisième détenu, celui-ci dort sur un matelas à même le sol; la prison n'identifie pas le détenu qui dort à même le sol. Les places de travail sont attribuées par ordre chronologique; le délai d'attente est de l'ordre de six mois. Les détenus qui vont bénéficier d'un travail doivent séjourner à l'aile Est; les horaires de travail oscillent entre 1h00 et 5h45 par jour, tous les jours ou une semaine sur deux.</w:t>
      </w:r>
    </w:p>
    <w:p>
      <w:r>
        <w:t>Les délais d'attente pour les consultations médicales dépendent de la gravité du cas; les consultations urgentes sont immédiatement garanties, les autres peuvent attendre jusqu'à un mois (consultation médicale somatique non urgente), voire plusieurs mois (consultation psychologique non urgente). Tous les détenus bénéficient d'une heure de promenade quotidienne à l'air libre, d'une heure de sport par semaine dans la salle de gymnastique et ils peuvent, en plus, pratiquer du sport dans la petite salle de l'unité pendant une heure, deux ou trois jours par semaine, de manière cyclique.</w:t>
      </w:r>
    </w:p>
    <w:p>
      <w:r>
        <w:rPr>
          <w:b/>
        </w:rPr>
        <w:t>E. 2.5.1</w:t>
      </w:r>
    </w:p>
    <w:p>
      <w:r>
        <w:t>A l'instar du Tmc, la Cour de justice a considéré qu'en refusant de s'inscrire pour obtenir une place de travail, le recourant avait volontairement renoncé à une amélioration de ses conditions de détention. Elle a en effet exposé que le recourant savait qu'en travaillant, il aurait pu passer entre 1h00 et 5h45 de plus hors de sa cellule. S'il avait exprimé le souhait de travailler, il aurait pu bénéficier, au plus tard, d'une place de travail à partir du 8 septembre 2013. Sa plainte concernant les conditions de détention était ainsi incompatible avec l'effort minimal qui pouvait être exigé de lui, soit s'inscrire sur la liste d'attente pour une place de travail, puis travailler.</w:t>
      </w:r>
    </w:p>
    <w:p>
      <w:r>
        <w:t>Pour le reste, la Cour de justice a laissé indécise la question de savoir si la période allant du 23 juin au 19 novembre 2014 - pendant laquelle le recourant disposait d'un espace individuel net de 3,39 m</w:t>
      </w:r>
    </w:p>
    <w:p>
      <w:r>
        <w:rPr>
          <w:b/>
        </w:rPr>
        <w:t>E. 2.5.2</w:t>
      </w:r>
    </w:p>
    <w:p>
      <w:r>
        <w:t>En l'occurrence, il y a deux périodes consécutives critiques pendant lesquelles le prévenu a séjourné dans une cellule de moins de 4 m</w:t>
      </w:r>
    </w:p>
    <w:p>
      <w:r>
        <w:rPr>
          <w:b/>
        </w:rPr>
        <w:t>E. 2.5.3</w:t>
      </w:r>
    </w:p>
    <w:p>
      <w:r>
        <w:t>La question litigieuse qui demeure est celle savoir si le fait de ne pas demander à occuper une place de travail permet de rendre les conditions de détention telles que décrites ci-dessus conformes à l' art. 3 CEDH , dans la mesure où l'exercice d'un travail diminue le temps passé en cellule et améliore ainsi les conditions de détention.</w:t>
      </w:r>
    </w:p>
    <w:p>
      <w:r>
        <w:t>La possibilité de sortir de la cellule, entre 1h00 par jour et 5h45 par jour une semaine sur deux, est certes susceptible d'alléger les conditions de détention. Cette seule circonstance ne suffit cependant pas en soi, dans la situation telle que décrite précédemment de la prison de Champ-Dollon, à rendre ces conditions de détention conformes à l' art. 3 CEDH . Même dans l'hypothèse d'une prise de travail par le détenu - ce qu'aucun élément du dossier ne permet de considérer comme étant une certitude -, les périodes du 7 décembre 2013 au 9 juin 2014 (184 jours) et du 23 juin au 19 novembre 2014 (149 nuits) auraient ainsi aussi, très vraisemblablement, été qualifiées de contraires à la dignité humaine.</w:t>
      </w:r>
    </w:p>
    <w:p>
      <w:r>
        <w:t>Par ailleurs, le Ministère public a souligné que le comportement du lésé devait être pris en compte dans l'interprétation de l'atteinte à la dignité humaine, en se référant à l'arrêt de la Cour européenne des droits de l'homme</w:t>
      </w:r>
    </w:p>
    <w:p>
      <w:r>
        <w:t>Ribitsch contre Autriche du 4 décembre 1995 (§ 38). Cette affaire ne concerne toutefois pas la problématique des conditions de détention mais celle du recours à la force des agents de police à l'encontre d'une personne détenue illégalement en garde à vue. La CourEDH a précisé que le comportement du détenu entrait uniquement en considération lorsqu'il avait provoqué l'usage de la force physique. On ne saurait assimiler un tel acte avec l'attitude, certes désinvolte, du recourant qui a simplement renoncé à s'inscrire pour obtenir un travail au sein de la prison.</w:t>
      </w:r>
    </w:p>
    <w:p>
      <w:r>
        <w:rPr>
          <w:b/>
        </w:rPr>
        <w:t>E. 2.6</w:t>
      </w:r>
    </w:p>
    <w:p>
      <w:r>
        <w:t>Il s'ensuit que le recours doit être admis et l'arrêt attaqué annulé. Le Tribunal fédéral constate que les conditions de détention du recourant n'ont pas été conformes aux standards minimaux durant 328 jours, entre le 7 décembre 2013 et le 19 novembre 2014.</w:t>
      </w:r>
    </w:p>
    <w:p>
      <w:r>
        <w:rPr>
          <w:b/>
        </w:rPr>
        <w:t>E. 3</w:t>
      </w:r>
    </w:p>
    <w:p>
      <w:r>
        <w:t>Le recourant, qui obtient gain de cause avec l'assistance d'un avocat, a droit à des dépens, à la charge du canton de Genève ( art. 68 al. 1 LTF ). Dans ces conditions, sa demande d'assistance judiciaire pour la présente procédure est sans objet. Il n'y a pas lieu de percevoir de frais judiciaires ( art. 66 al. 4 LTF ).</w:t>
      </w:r>
    </w:p>
    <w:p>
      <w:r>
        <w:t>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