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238/2021 vom 19. August 2021</w:t>
      </w:r>
    </w:p>
    <w:p>
      <w:r>
        <w:t>Bundesgericht, 2021-08-19, DE</w:t>
      </w:r>
    </w:p>
    <w:p>
      <w:r>
        <w:rPr>
          <w:b/>
        </w:rPr>
        <w:t xml:space="preserve">Quelle: </w:t>
      </w:r>
      <w:r>
        <w:t>https://mcp.opencaselaw.ch/entscheid/bger_1B_238_2021</w:t>
      </w:r>
    </w:p>
    <w:p>
      <w:r>
        <w:t>FR: TF 1B 238/2021 du 19 août 2021</w:t>
      </w:r>
    </w:p>
    <w:p>
      <w:r>
        <w:t>IT: TF 1B 238/2021 del 19 agosto 2021</w:t>
      </w:r>
    </w:p>
    <w:p>
      <w:pPr>
        <w:pStyle w:val="Heading2"/>
      </w:pPr>
      <w:r>
        <w:t>Regeste</w:t>
      </w:r>
    </w:p>
    <w:p>
      <w:r>
        <w:t>Massnahmenvollzugsverfahren; Ausstand eines Sachverständigen | Zuständigkeitsfragen, Garantie des Wohnsitzrichters und des v...</w:t>
      </w:r>
    </w:p>
    <w:p>
      <w:pPr>
        <w:pStyle w:val="Heading2"/>
      </w:pPr>
      <w:r>
        <w:t>Erwägungen</w:t>
      </w:r>
    </w:p>
    <w:p>
      <w:r>
        <w:rPr>
          <w:b/>
        </w:rPr>
        <w:t>E. 1</w:t>
      </w:r>
    </w:p>
    <w:p>
      <w:r>
        <w:t>Angefochten ist ein kantonal letztinstanzlicher, selbstständig eröffneter Ausstandsentscheid in einem hängigen massnahmenvollzugsrechtlichen Verfahren (Art. 92 i.V.m. Art. 80 BGG ). Die Sachurteilsvoraussetzungen von Art. 78 ff. BGG sind grundsätzlich erfüllt.</w:t>
      </w:r>
    </w:p>
    <w:p>
      <w:r>
        <w:rPr>
          <w:b/>
        </w:rPr>
        <w:t>E. 2</w:t>
      </w:r>
    </w:p>
    <w:p>
      <w:r>
        <w:t>Der Beschwerdeführer rügt, der angefochtene Entscheid stütze sich ausdrücklich auf eine Stellungnahme vom 19. März 2021 des vom Ausstandsgesuch betroffenen Sachverständigen. Die Vorinstanz habe das Ausstandsbegehren am 1. April 2021 abschlägig entschieden, ohne ihm, dem Beschwerdeführer, vorgängig Gelegenheit zu geben, sich zur fraglichen Stellungnahme zu äussern. Dies verletze sein von Art. 29 Abs. 2 BV gewährleistetes Replikrecht.</w:t>
      </w:r>
    </w:p>
    <w:p>
      <w:r>
        <w:rPr>
          <w:b/>
        </w:rPr>
        <w:t>E. 3</w:t>
      </w:r>
    </w:p>
    <w:p>
      <w:r>
        <w:t>Das Bundesgericht entscheidet im vereinfachten Verfahren und mit summarischer Begründung über die Gutheissung offensichtlich begründeter Beschwerden ( Art. 109 Abs. 2 lit. b und Abs. 3 BGG ). Gemäss Art. 29 Abs. 2 BV und Art. 6 Ziff. 1 EMRK haben die Parteien eines Gerichtsverfahrens Anspruch auf rechtliches Gehör. Diese Garantie umfasst auch das Recht, von den beim Gericht eingereichten Stellungnahmen Kenntnis zu erhalten und sich dazu äussern zu können. Das Replikrecht hängt nicht von der Entscheidrelevanz der Eingaben ab. Die Wahrnehmung des rechtlichen Gehörs setzt voraus, dass die von den übrigen Verfahrensbeteiligten eingereichten Eingaben der Partei rechtzeitig vor Erlass des Entscheides zugestellt werden ( BGE 139 I 189 E. 3.1-3.2 ; 138 I 154 E. 2.3; 484 E. 2.4 ; 137 I 195 E. 2.2 und 2.3.1-2.3.2 ; 133 I 100 E. 4.9). In Ausstandsverfahren steht das Replikrecht dem Gesuchsteller auch zu sämtlichen Stellungnahmen der Personen zu, deren Ausstand er beantragt hat (Urteil 1B_459/2012 vom 16. November 2012 E. 2.1 mit Hinweisen).</w:t>
      </w:r>
    </w:p>
    <w:p>
      <w:r>
        <w:rPr>
          <w:b/>
        </w:rPr>
        <w:t>E. 4</w:t>
      </w:r>
    </w:p>
    <w:p>
      <w:r>
        <w:t>Die Rüge der Verletzung des rechtlichen Gehörs erweist sich als offensichtlich begründet. In den Erwägungen des angefochtenen Entscheides (S. 2) stützt die Vorinstanz die Abweisung des Ausstandsbegehrens ausdrücklich auf die Stellungnahme des Sachverständigen vom 19. März 2021. Wie sich aus den Akten ergibt, äusserte sich dieser dort ausführlich zum Ausstandsgesuch. Die Vorinstanz bestreitet die Darstellung des Beschwerdeführers nicht, dass sie ihm die fragliche Stellungnahme erst zusammen mit ihrem Ausstandsentscheid zustellte. Etwas anderes ergibt sich auch nicht aus den vorgelegten Verfahrensakten. Damit wurde das Replikrecht des Beschwerdeführers offensichtlich verletzt. Eine "Heilung" der Gehörsverletzung ist im vorliegenden Beschwerdeverfahren nicht möglich, zumal sich primär Sachverhaltsfragen stellen und die Kognition des Bundesgerichtes diesbezüglich beschränkt ist (Art. 97 Abs. 1 und Art. 105 Abs. 1-2 BGG ; vgl. BGE 133 I 100 E. 4.9 S. 105; zit. Urteil 1B_459/2012 E. 2.6).</w:t>
      </w:r>
    </w:p>
    <w:p>
      <w:r>
        <w:rPr>
          <w:b/>
        </w:rPr>
        <w:t>E. 5</w:t>
      </w:r>
    </w:p>
    <w:p>
      <w:r>
        <w:t>Die Beschwerde ist gutzuheissen, der angefochtene Entscheid aufzuheben und das Verfahren an die Vorinstanz zurückzuweisen, zur Gewährung des rechtlichen Gehörs und neuen Entscheidung über das Ausstandsgesuch. Der angefochtene Entscheid ist im Übrigen kursorisch begründet und enthält keine Hinweise auf die von der Vorinstanz angewendeten gesetzlichen Vorschriften (vgl. Art. 112 Abs. 1 lit. b BGG ). Es kann offen bleiben, ob der angefochtene Entscheid die Voraussetzungen von Art. 112 Abs. 1 BGG erfüllt hätte. Gerichtskosten sind nicht zu erheben ( Art. 66 Abs. 4 BGG ). Dem Rechtsvertreter des Beschwerdeführers ist für das bundesgerichtliche Verfahren eine angemessene Entschädigung zuzusprechen ( Art. 68 BGG ). Damit wird das subsidiäre Gesuch um unentgeltliche Rechtspflege ( Art. 64 BGG )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