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1B_238/2018 vom 5. September 2018</w:t>
      </w:r>
    </w:p>
    <w:p>
      <w:r>
        <w:t>Bundesgericht, 2018-09-05, FR</w:t>
      </w:r>
    </w:p>
    <w:p>
      <w:r>
        <w:rPr>
          <w:b/>
        </w:rPr>
        <w:t xml:space="preserve">Quelle: </w:t>
      </w:r>
      <w:r>
        <w:t>https://mcp.opencaselaw.ch/entscheid/bger_1B_238_2018</w:t>
      </w:r>
    </w:p>
    <w:p>
      <w:r>
        <w:t>FR: TF 1B_238/2018 du 5 septembre 2018</w:t>
      </w:r>
    </w:p>
    <w:p>
      <w:r>
        <w:t>IT: TF 1B_238/2018 del 5 settembre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t>L'arrêt attaqué, qui confirme la suspension de la procédure pénale jusqu'à droit connu dans celle civile Cxxx, est une décision rendue en matière pénale au sens de l' art. 78 al. 1 LTF . Elle émane de plus d'une autorité cantonale de dernière instance ( art. 80 al. 1 LTF ) et le recours a été déposé en temps utile ( art. 100 al. 1 LTF ).</w:t>
      </w:r>
    </w:p>
    <w:p>
      <w:r>
        <w:t>Dans le cas d'espèce, il n'est pas d'emblée évident que les griefs invoqués au fond (prescription de l'action pénale, intérêt prépondérant à la poursuite immédiate des infractions dénoncées, risque d'altération ou de disparition des preuves) suffisent à établir, même au stade de la recevabilité, un risque sérieux de violation du principe de célérité, situation susceptible de justifier l'entrée en matière sans examen de l'existence d'un préjudice irréparable au sens de l' art. 93 al. 1 let. a LTF (sur ces notions, ATF 143 IV 175 consid. 2.3 p. 177 s. et les arrêts cités). Il est également douteux que la recourante dispose de la qualité pour recourir, que ce soit en tant que partie plaignante au sens de l'art. 81 al. 1 let. a et b ch. 5 LTF - ce qu'elle ne développe d'ailleurs pas - ou sur la base d'une invocation de ses droits de partie ( ATF 141 IV 1 consid. 1.1 p. 5). En effet, un tel statut présuppose pour le moins que la recourante ait été touchée personnellement et directement par les comportements dénoncés (art. 104 al. 1 let. b, 115 al. 1 et 118 al. 1 LTF; ATF 143 IV 77 consid. 2.2 p. 78). Or, ceux-ci ne suffisent pas dans le cas d'espèce à établir une telle atteinte, notamment un éventuel dommage patrimonial - ce qu'a également relevé l'autorité précédente -, et il appartenait en conséquence à la recourante de développer, devant le Tribunal fédéral, une argumentation sur cette question ( art. 42 al. 2 LTF ; ATF 141 IV 284 consid. 2.3 p. 287), ce qu'elle n'a pas fait.</w:t>
      </w:r>
    </w:p>
    <w:p>
      <w:r>
        <w:t>Cela étant vu l'issue du litige, ces questions de recevabilité - dont certaines se recoupent au demeurant avec le fond - peuvent rester indécises.</w:t>
      </w:r>
    </w:p>
    <w:p>
      <w:r>
        <w:rPr>
          <w:b/>
        </w:rPr>
        <w:t>E. 2</w:t>
      </w:r>
    </w:p>
    <w:p>
      <w:r>
        <w:t>La recourante se plaint d'une violation du principe de célérité. Elle soutient tout d'abord que l'intérêt à la poursuite de l'instruction pénale primerait dès lors qu'il est question de séquestres et que la cause civile tendrait à l'examen de problématiques différentes. Selon la recourante, il n'y sera de plus mis un terme que dans plusieurs années vu notamment les commissions rogatoires nécessaires, ainsi que les nombreuses contestations émises par les différentes parties impliquées; au regard de cette durée, la recourante encourrait un risque de prescription de l'action pénale, ainsi que d'altération et de disparition des preuves.</w:t>
      </w:r>
    </w:p>
    <w:p>
      <w:r>
        <w:rPr>
          <w:b/>
        </w:rPr>
        <w:t>E. 2.1</w:t>
      </w:r>
    </w:p>
    <w:p>
      <w:r>
        <w:t>Selon l' art. 314 al. 1 let. b CPP ,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(arrêts 1B_406/2017 du 23 janvier 2018 consid. 2; 1B_421/2012 du 19 juin 2013 consid. 2.1).</w:t>
      </w:r>
    </w:p>
    <w:p>
      <w:r>
        <w:t>Le principe de la célérité qui découle de l' art. 29 al. 1 Cst. et, en matière pénale, de l' art. 5 CPP ,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1B_406/2017 du 23 janvier 2018 consid. 2; 1B_163/2014 du 18 juillet 2014 consid. 2.2; 1B_421/2012 du 19 juin 2013 consid. 2.3). Dans les cas limites ou douteux, le principe de célérité prime ( ATF 130 V 90 consid. 5 p. 95; arrêts 1B_406/2017 du 23 janvier 2018 consid. 2; 1B_329/2017 du 11 septembre 2017 consid. 3).</w:t>
      </w:r>
    </w:p>
    <w:p>
      <w:r>
        <w:rPr>
          <w:b/>
        </w:rPr>
        <w:t>E. 2.2</w:t>
      </w:r>
    </w:p>
    <w:p>
      <w:r>
        <w:t>Selon l' art. 169 CP ,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w:t>
      </w:r>
    </w:p>
    <w:p>
      <w:r>
        <w:t>Quant à l' art. 289 CP , il prévoit que celui qui aura soustrait des objets mis sous main de l'autorité sera puni d'une peine privative de liberté de trois ans au plus ou d'une peine pécuniaire.</w:t>
      </w:r>
    </w:p>
    <w:p>
      <w:r>
        <w:t>La première des dispositions susmentionnée - plus sévère - prime, en tant que loi spéciale, sur la seconde. Cette dernière s'applique en revanche lorsque l'auteur n'a pas l'intention de nuire aux créanciers ( ATF 119 IV 134 consid. 2a p. 135; 75 IV 174 ; TRECHSEL/VEST, in TRECHSEL/PIETH (édit.), Schweizerisches Strafgesetzbuch, Praxiskommentar, 3e éd. 2018, nos 1 et 8 ad art. 289 CPP ; DUPUIS ET AL., Petit commentaire, Code pénal, 2e éd. 2017, nos 26 et 32 ad art. 169 CP , ainsi que n° 9 ad art. 289 CP ; NADINE HAGENSTEIN, in Basler Kommentar, Strafrecht II, Art. 111-392 StGB, 3e éd. 2013, n° 82 ad art. 169 CP et n° 16 ad art. 289 CP ).</w:t>
      </w:r>
    </w:p>
    <w:p>
      <w:r>
        <w:rPr>
          <w:b/>
        </w:rPr>
        <w:t>E. 2.3</w:t>
      </w:r>
    </w:p>
    <w:p>
      <w:r>
        <w:t>En l'occurrence, l'action civile en paiement intentée par la recourante tend à démontrer l'existence de sa créance contre G.________, C.________ Ltd, D.________ Ltd et I.________ CO, respectivement à obtenir la validation des séquestres civils demandés afin de garantir les prétentions émises. Quant à l'instruction pénale, elle vise à établir si le paiement de la créance détenue par les débiteurs présumés susmentionnés contre B.________ SA et placée sous séquestre civil sur requête de la recourante serait intervenu en violation d'une décision de mise sous main de justice.</w:t>
      </w:r>
    </w:p>
    <w:p>
      <w:r>
        <w:t>Avec la recourante, il y a lieu de constater que certaines des problématiques soumises à l'autorité pénale ne dépendent pas de la procédure civile; ces questions - soit en particulier l'existence de valeurs patrimoniales sous main de justice et leur soustraction (sur les conditions des infractions dénoncées, cf. DUPUIS ET AL., op. cit., nos 3 ss ad art. 169 CP et nos 4 ss ad art. 289 CP ; HAGENSTEIN, op. cit., nos 2 ss ad art. 169 CP et nos 3 ss ad art. 289 CP ) - ne paraissent cependant pas en soi contestées (cf. en particulier le courrier de B.________ SA du 3 mars 2016 relevant en substance l'existence des séquestres [ch. 1 p. 1 ss et ch. 3 p. 4 s.], de sa dette envers C.________ Ltd [ch. 2 p. 3 s.] et les paiements de cette dette, ainsi que des "surestaries" intervenus en faveur de C.________ Ltd indépendamment de l'Office des poursuites [ch. 6 p. 6 s.]).</w:t>
      </w:r>
    </w:p>
    <w:p>
      <w:r>
        <w:t>Cela étant, l'infraction posée à l' art. 169 CP présuppose encore un comportement propre à causer un dommage aux créanciers bénéficiant de la mise sous main de justice, ainsi que l'intention d'agir au détriment de ceux-ci (TRECHSEL/VEST, op. cit., nos 7 s. ad art. 169 CPP ; ANDREAS DONATSC h, in DONATSCH (édit.), StGB JStG Kommentar, 20e éd. 2018, nos 6 s. ad art. 169 CP ; DUPUIS ET AL., op. cit., nos 15 et 25 ad art. 169 CP ; HAGENSTEIN, op. cit., nos 58 ss et 67 ad art. 169 CP ), ce qui n'est pas le cas de l' art. 289 CP (TRECHSEL/VEST, op. cit., nos 1, 6 et 8 ad art. 289 CPP ; DUPUIS ET AL., op. cit., nos 6 s. ad art. 289 CP ). Or, dans la mesure où il devrait ressortir de la procédure civile que la recourante ne serait pas créancière des entités susmentionnées, l'éventuel paiement de la créance séquestrée ne paraît pas avoir pu être opéré afin de lui nuire, ce qui devrait exclure l'application de l' art. 169 CP . Sous l'angle de cette disposition, la suspension de la procédure jusqu'à droit connu dans la cause civile tendant à déterminer la qualité de créancière de la recourante ne prête en l'état pas le flanc à la critique.</w:t>
      </w:r>
    </w:p>
    <w:p>
      <w:r>
        <w:t>Vu l'application uniquement subsidiaire de l' art. 289 CP - soit en l'absence de dessein de nuire aux créanciers -, cette conclusion s'impose dès lors également s'agissant de cette disposition. En tout état de cause, il est fortement douteux que la recourante puisse prétendre à un autre statut que celui de dénonciatrice par rapport à cet article, puisque le bien juridiquement protégé par celui-ci est l'autorité de l'Etat, non pas ses intérêts patrimoniaux (cf. a contrario pour l' art. 169 CP qui a un double but; ATF 129 IV 68 consid. 2.1 p. 69; D UPUIS ET AL., op. cit., no 1 ad art. 169 CP ; DONATSC h, op. cit., no 1 ad art. 169 CP ; HAGENSTEIN, op. cit., n° 1 ad art. 169 CP ), mais uniquement l'autorité publique ( ATF 75 IV 174 ; TRECHSEL/VEST, op. cit., n° 1 ad art. 289 CP ; BERNHARD ISENRING, in DONATSCH (édit.), StGB JStG Kommentar, 20e éd. 2018, nos 1 s. ad art. 289 CP ; DUPUIS ET AL., op. cit., no 2 ad art. 289 CP ; HAGENSTEIN, op. cit., n° 1 ad art. 289 CP ).</w:t>
      </w:r>
    </w:p>
    <w:p>
      <w:r>
        <w:t>Une violation du principe de célérité ne saurait pas non plus être retenue à ce jour eu égard à un risque d'acquisition de la prescription de l'action pénale (cf. art. 169 et 289 CP en lien avec l' art. 97 al. 1 let . c et 98 let. a CP), la recourante situant d'ailleurs celle-ci à l'été 2025. Quant aux risques de perdre des moyens de preuve notamment en raison de la longueur alléguée de la cause civile - simple conjecture au demeurant -, ils n'apparaissent en l'état pas plus importants que dans n'importe quelle procédure impliquant plusieurs parties et/ou ayant des impacts internationaux; l'exercice des moyens conférés par le droit de procédure civile ou pénale ne constitue au demeurant pas en soi une violation du principe de célérité.</w:t>
      </w:r>
    </w:p>
    <w:p>
      <w:r>
        <w:t>Au regard de l'ensemble de ces considérations, la cour cantonale n'a pas violé le droit fédéral en confirmant l'ordonnance de suspension de la procédure pénale et ce grief peut être rejeté.</w:t>
      </w:r>
    </w:p>
    <w:p>
      <w:r>
        <w:rPr>
          <w:b/>
        </w:rPr>
        <w:t>E. 3</w:t>
      </w:r>
    </w:p>
    <w:p>
      <w:r>
        <w:t>Il s'ensuit que le recours est rejeté dans la mesure où il est recevable.</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