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237/2019 vom 17. Mai 2019</w:t>
      </w:r>
    </w:p>
    <w:p>
      <w:r>
        <w:t>Bundesgericht, 2019-05-17, DE</w:t>
      </w:r>
    </w:p>
    <w:p>
      <w:r>
        <w:rPr>
          <w:b/>
        </w:rPr>
        <w:t xml:space="preserve">Quelle: </w:t>
      </w:r>
      <w:r>
        <w:t>https://mcp.opencaselaw.ch/entscheid/bger_1B_237_2019</w:t>
      </w:r>
    </w:p>
    <w:p>
      <w:r>
        <w:t>FR: TF 1B 237/2019 du 17 mai 2019</w:t>
      </w:r>
    </w:p>
    <w:p>
      <w:r>
        <w:t>IT: TF 1B 237/2019 del 17 maggio 2019</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See/Oberland vom 25. April 2019 Beschwerde. Die Verfahrensleitung der III. Strafkammer des Obergerichts des Kantons Zürich forderte sie mit Verfügung vom 13. Mai 2019 auf, innert 30 Tagen eine Prozesskaution im Sinne von Art. 383 Abs. 1 StPO von Fr. 1'500.-- zu leisten, ansonsten auf das Rechtsmittel nicht eingetreten werde.</w:t>
      </w:r>
    </w:p>
    <w:p>
      <w:r>
        <w:rPr>
          <w:b/>
        </w:rPr>
        <w:t>E. 2</w:t>
      </w:r>
    </w:p>
    <w:p>
      <w:r>
        <w:t>Mit Eingabe vom 16. Mai 2019 führt A.________ Beschwerde in Strafsachen gegen die Verfügung der Verfahrensleitung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Beschwerdeführerin, die keinen zulässigen Beschwerdegrund nennt, vermag mit ihren Ausführungen nicht aufzuzeigen, inwiefern die von der III. Strafkammer geforderte Prozesskaution im Sinne von Art. 383 StPO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