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237/2011 vom 7. Juni 2011</w:t>
      </w:r>
    </w:p>
    <w:p>
      <w:r>
        <w:t>Bundesgericht, 2011-06-07, FR</w:t>
      </w:r>
    </w:p>
    <w:p>
      <w:r>
        <w:rPr>
          <w:b/>
        </w:rPr>
        <w:t xml:space="preserve">Quelle: </w:t>
      </w:r>
      <w:r>
        <w:t>https://mcp.opencaselaw.ch/entscheid/bger_1B_237_2011</w:t>
      </w:r>
    </w:p>
    <w:p>
      <w:r>
        <w:t>FR: TF 1B 237/2011 du 7 juin 2011</w:t>
      </w:r>
    </w:p>
    <w:p>
      <w:r>
        <w:t>IT: TF 1B 237/2011 del 7 giugno 2011</w:t>
      </w:r>
    </w:p>
    <w:p>
      <w:pPr>
        <w:pStyle w:val="Heading2"/>
      </w:pPr>
      <w:r>
        <w:t>Regeste</w:t>
      </w:r>
    </w:p>
    <w:p>
      <w:r>
        <w:t>prolongation de 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Entré en vigueur le 1er janvier 2011, le CPP est applicable au cas d'espèce (art. 448 al. 1 et 454 al. 1 CPP).</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4</w:t>
      </w:r>
    </w:p>
    <w:p>
      <w:r>
        <w:t>Dans un premier grief, le recourant déclare qu'il conteste l'existence de charges suffisantes, tout en prenant acte de l'arrêt 1B_111/2010 du 7 mai 2010 dans lequel la Cour de céans a précisément constaté le caractère suffisant de ces charges. Dès lors que le recourant n'apporte aucun élément qui justifierait de revoir cette appréciation, il peut être renvoyé à l'arrêt en question (consid. 3).</w:t>
      </w:r>
    </w:p>
    <w:p>
      <w:r>
        <w:rPr>
          <w:b/>
        </w:rPr>
        <w:t>E. 5</w:t>
      </w:r>
    </w:p>
    <w:p>
      <w:r>
        <w:t>Dans un deuxième moyen, le recourant remet en cause le risque de collusion retenu par les instances précédentes.</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132 I 21 consid. 3.2 p. 23; 128 I 149 consid. 2.1 p. 151; 123 I 31 consid. 3c p. 35; 117 Ia 257 consid. 4b-c p. 260 s. et les références).</w:t>
      </w:r>
    </w:p>
    <w:p>
      <w:r>
        <w:rPr>
          <w:b/>
        </w:rPr>
        <w:t>E. 5.2</w:t>
      </w:r>
    </w:p>
    <w:p>
      <w:r>
        <w:t>En l'occurrence, la Cour de justice se réfère à l'arrêt 1B_111/2010 précité pour étayer l'existence d'un risque de collusion. Dans l'arrêt en question, la Cour de céans avait en effet considéré qu'il existait encore un tel risque en mai 2010. Elle statuait cependant sur la base de l'avancement de l'instruction à ce moment-là, en relevant qu'il restait des éléments importants à élucider et en constatant que l'instruction se poursuivait activement. Cet arrêt a été rendu il y a plus d'une année, de sorte que les autorités compétentes ont eu l'occasion d'administrer les moyens de preuve qui pouvaient l'être. Certes, comme le relève la Cour de justice, le prévenu nie toujours être l'auteur de l'homicide et ni l'arme du crime ni la récompense n'ont été retrouvées. Cela ne saurait toutefois conduire à une prolongation systématique de la détention avant jugement, ce d'autant moins que les autorités précédentes ne précisent pas quels sont les actes d'instruction qu'il resterait à administrer et que le recourant pourrait entraver. Cela étant, on peut admettre qu'il existe un risque de voir le recourant exercer certaines pressions sur les personnes qui le mettent en cause afin qu'elles reviennent sur leurs précédentes déclarations. Compte tenu de l'importance de ces accusations et des enjeux de la procédure pour le recourant, cette hypothèse ne peut pas être écartée, ce d'autant moins qu'une expertise psychiatrique a relevé que l'intéressé présentait un caractère impulsif, voire parfois violent. L'expert-psychiatre a en outre confirmé cette appréciation lors de son audition du 26 novembre 2010, en précisant qu'il avait constaté "une certaine impulsivité de l'expertisé, une agressivité parfois mal contenue et aussi manifestement la capacité à adopter des comportements violents". Le risque de pression sur C.________ est certes restreint par le fait qu'elle se trouve encore en détention. Il est en revanche concret pour D.________, qui a été libérée sous caution au printemps 2010, et pour E.________, qui n'est pas détenu. En définitive, on peut admettre qu'il existe encore un danger de collusion, même s'il apparaît en l'état limité.</w:t>
      </w:r>
    </w:p>
    <w:p>
      <w:r>
        <w:rPr>
          <w:b/>
        </w:rPr>
        <w:t>E. 6</w:t>
      </w:r>
    </w:p>
    <w:p>
      <w:r>
        <w:t>Le maintien en détention du recourant a également été motivé par l'existence d'un risque de fuite, ce que l'intéressé conteste.</w:t>
      </w:r>
    </w:p>
    <w:p>
      <w:r>
        <w:rPr>
          <w:b/>
        </w:rPr>
        <w:t>E. 6.1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6.2</w:t>
      </w:r>
    </w:p>
    <w:p>
      <w:r>
        <w:t>La Cour de justice retient que le risque de fuite est concret car le recourant est prévenu de l'infraction la plus grave du Code pénal, ce qui peut l'inciter à prendre la fuite à l'étranger, le cas échéant dans un pays francophone. Selon cette autorité, une telle fuite ne nécessite pas de lien particulier à l'étranger, "ce d'autant moins que l'intéressé a de bonnes connaissances en matière équine". De plus, les 50'000 fr. qui auraient été versés par les commanditaires de l'homicide pourraient l'aider à organiser sa fuite à l'étranger, voire à se cacher sur le territoire helvétique. Il convient toutefois de rappeler que le recourant est de nationalité suisse, que sa compagne et ses enfants vivent en Suisse et qu'il n'a aucun lien connu avec l'étranger. En outre, le risque de voir le recourant passer la frontière à cheval ou se cacher durablement en Suisse pour échapper à la justice n'apparaît guère vraisemblable, même s'il est impossible d'exclure totalement un tel scénario. Cela étant, l'importance de la peine encourue concrètement en cas de condamnation pourrait inciter le recourant à prendre certains risques pour y échapper, ce qui n'est pas impossible compte tenu notamment de l'impulsivité diagnostiquée par l'expert-psychiatre cité ci-dessus (cf. supra consid. 5.2). De plus, la somme de 50'000 fr. versée en rétribution de l'homicide, et qui n'a pas été retrouvée, pourrait effectivement servir à financer une telle entreprise. Dans ces circonstances, on peut encore admettre l'existence d'un faible risque de fuite.</w:t>
      </w:r>
    </w:p>
    <w:p>
      <w:r>
        <w:rPr>
          <w:b/>
        </w:rPr>
        <w:t>E. 7</w:t>
      </w:r>
    </w:p>
    <w:p>
      <w:r>
        <w:t>Dès lors que les risques de fuite et de collusion n'apparaissent pas particulièrement importants, les autorités compétentes devaient étudier de manière approfondie les moyens alternatifs susceptibles de remplacer la détention.</w:t>
      </w:r>
    </w:p>
    <w:p>
      <w:r>
        <w:rPr>
          <w:b/>
        </w:rPr>
        <w:t>E. 7.1</w:t>
      </w:r>
    </w:p>
    <w:p>
      <w:r>
        <w:t>Conformément au principe de la proportionnalité ( art. 36 al. 3 Cst. ), il convient en effet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7.2</w:t>
      </w:r>
    </w:p>
    <w:p>
      <w:r>
        <w:t>En l'occurrence, le recourant avait proposé de se présenter à intervalles réguliers à un poste de police, de travailler dans l'exploitation agricole de la famille de sa compagne, de porter un bracelet électronique et de s'interdire tout contact avec les autres prévenus. Toutes ces propositions entrent dans le cadre des mesures alternatives prévues par l' art. 237 CPP . Les premières peuvent être de nature à pallier un risque de fuite et la dernière un risque de collusion. Il convient de préciser à cet égard que, contrairement à ce que semble considérer la Cour de justice, certaines mesures de substitution tendent également à prévenir le risque de collusion. Il en va ainsi de l'interdiction de se rendre dans un certain lieu et de l'interdiction d'entretenir des relations avec certaines personnes ( art. 237 al. 2 let . c et g CPP; cf. arrêt 1B_141/2011 du 16 mai 2011 consid. 6 destiné à la publication). Toutes ces mesures peuvent en outre être combinées et leur exécution peut être surveillée par l'utilisation d'appareils techniques au sens de l' art. 237 al. 3 CPP . En définitive, compte tenu du degré des risques de fuite et de collusion retenus en l'espèce, il n'est pas d'emblée exclu que des mesures moins sévères que la détention puissent atteindre les même buts que celle-ci. En omettant d'examiner ces questions de manière approfondie, les autorités précédentes ont donc violé le principe de la proportionnalité.</w:t>
      </w:r>
    </w:p>
    <w:p>
      <w:r>
        <w:rPr>
          <w:b/>
        </w:rPr>
        <w:t>E. 7.3</w:t>
      </w:r>
    </w:p>
    <w:p>
      <w:r>
        <w:t>Il n'appartient pas au Tribunal fédéral d'examiner pour la première fois si des mesures de substitution pourraient entrer en considération et, le cas échéant, les modalités pratiques de leur mise en oeuvre. La cause doit donc être renvoyée au tribunal compétent - en l'espèce le Tribunal des mesures de contrainte - pour qu'il statue en première instance sur ce point.</w:t>
      </w:r>
    </w:p>
    <w:p>
      <w:r>
        <w:rPr>
          <w:b/>
        </w:rPr>
        <w:t>E. 8</w:t>
      </w:r>
    </w:p>
    <w:p>
      <w:r>
        <w:t>Lorsque le Tribunal fédéral constate que la procédure de prolongation de la détention n'a pas satisfait aux garanties constitutionnelles ou conventionnelles en cause, il n'en résulte pas obligatoirement que le prévenu doive être immédiatement remis en liberté ( ATF 116 Ia 60 consid. 3b p. 64; 115 Ia 293 consid. 5g p. 308; 114 Ia 88 consid. 5d p. 93). Une telle issue ne se justifie pas en l'espèce, dès lors que le maintien en détention reste fondé sur les risques de fuite et de collusion en attendant que l'autorité compétente statue - à très brève échéance - sur d'éventuelles mesures de substitution à la détention. La conclusion tendant à la mise en liberté immédiate du recourant doit donc être rejetée.</w:t>
      </w:r>
    </w:p>
    <w:p>
      <w:r>
        <w:rPr>
          <w:b/>
        </w:rPr>
        <w:t>E. 9</w:t>
      </w:r>
    </w:p>
    <w:p>
      <w:r>
        <w:t>Il s'ensuit que le recours est admis partiellement et l'arrêt attaqué annulé. La cause est renvoyée au Tribunal des mesures de contrainte pour nouvelle décision dans le sens des considérants. Il n'y a pas lieu de percevoir de frais judiciaires ( art. 66 al. 4 LTF ). L'Etat de Genève versera en revanche une indemnité de dépens au recourant, qui obtient partiellement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