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1B_236/2017 vom 6. Juli 2017</w:t>
      </w:r>
    </w:p>
    <w:p>
      <w:r>
        <w:t>Bundesgericht, 2017-07-06, DE</w:t>
      </w:r>
    </w:p>
    <w:p>
      <w:r>
        <w:rPr>
          <w:b/>
        </w:rPr>
        <w:t xml:space="preserve">Quelle: </w:t>
      </w:r>
      <w:r>
        <w:t>https://mcp.opencaselaw.ch/entscheid/bger_1B_236_2017</w:t>
      </w:r>
    </w:p>
    <w:p>
      <w:r>
        <w:t>FR: TF 1B_236/2017 du 6 juillet 2017</w:t>
      </w:r>
    </w:p>
    <w:p>
      <w:r>
        <w:t>IT: TF 1B_236/2017 del 6 luglio 2017</w:t>
      </w:r>
    </w:p>
    <w:p>
      <w:pPr>
        <w:pStyle w:val="Heading2"/>
      </w:pPr>
      <w:r>
        <w:t>Erwägungen</w:t>
      </w:r>
    </w:p>
    <w:p>
      <w:r>
        <w:rPr>
          <w:b/>
        </w:rPr>
        <w:t>E. 1</w:t>
      </w:r>
    </w:p>
    <w:p>
      <w:r>
        <w:t>Angefochten ist ein kantonal letztinstanzlicher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Verbrechen oder Vergehen sowie Fluchtgefahr besteht ( Art. 221 Abs. 1 StPO ).</w:t>
      </w:r>
    </w:p>
    <w:p>
      <w:r>
        <w:rPr>
          <w:b/>
        </w:rPr>
        <w:t>E. 2.1</w:t>
      </w:r>
    </w:p>
    <w:p>
      <w:r>
        <w:t>Der Beschwerdeführer wurde erstinstanzlich u.a. der Erpressung ( Art. 156 Ziff. 1 StGB ), der ungetreuen Geschäftsbesorgung ( Art. 158 Ziff. 1 Abs. 1 und 3 StGB ), der Geldwäscherei ( Art. 305bis Ziff. 1 StGB ) und der mehrfachen groben Verletzung der Verkehrsregeln ( Art. 90 Abs. 2 SVG ) schuldig gesprochen. Er wurde mithin wegen Verbrechen und Vergehen ( Art. 10 Abs. 2 und 3 StGB ) verurteilt. Damit ist der allgemeine Haftgrund des dringenden Tatverdachts, was auch der Beschwerdeführer nicht substantiiert bestreitet, ohne Weiteres erfüllt.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2.3</w:t>
      </w:r>
    </w:p>
    <w:p>
      <w:r>
        <w:t>Mit der erstinstanzlichen Verurteilung zu einer unbedingten Freiheitsstrafe von 3 ½ Jahren hat sich die Hoffnung des Beschwerdeführers, in wesentlichen Punkten freigesprochen zu werden und damit, trotz des Antrags der Staatsanwältin von 5 Jahren Freiheitsstrafe, glimpflich davonzukommen, vorerst zerschlagen. Er muss vielmehr ernsthaft mit der Möglichkeit rechnen, dass auch die Berufungsinstanz die Sache gleich oder ähnlich beurteilt wie die erste Instanz und ihm dementsprechend ein mehrjähriger Strafvollzug bevorsteht. Das stellt fraglos einen erheblichen Fluchtanreiz dar, und die Auffassung des Obergerichts ist nicht zu beanstanden, dass dieser vor dem erstinstanzlichen Urteil, als der Beschwerdeführer auf einen Freispruch hoffen konnte, geringer war und er auch ein ureigenes Interesse daran hatte, an der Hauptverhandlung teilzunehmen und seinen Standpunkt zu vertreten.</w:t>
      </w:r>
    </w:p>
    <w:p>
      <w:r>
        <w:rPr>
          <w:b/>
        </w:rPr>
        <w:t>E. 2.4</w:t>
      </w:r>
    </w:p>
    <w:p>
      <w:r>
        <w:t>Unbestritten ist, dass der Beschwerdeführer in der Schweiz gut verankert bzw. fest etabliert ist: Er wurde in Deutschland geboren, kam im Alter von 3 Jahren in die Schweiz, hat hier die kaufmännische Lehre gemacht und bei verschiedenen Firmen als Buchhalter und EDV-Verantwortlicher gearbeitet. Er hat hier ein Haus gekauft und seine beiden erwachsenen Töchter sowie seine Mutter und sein Bruder leben hier.</w:t>
      </w:r>
    </w:p>
    <w:p>
      <w:r>
        <w:t>Das wirtschaftliche Fortkommen des Beschwerdeführers in der Schweiz erscheint allerdings unsicher. Er war zuletzt vor seiner Verhaftung selbständig als Buchhalter und EDV-Berater tätig und verdiente nach eigenen Angaben zwischen 4'000 und 5'000.- Franken pro Monat. Vermögen hat er nicht, sondern hohe Schulden: Laut erstinstanzlichem Urteil schuldet er dem Staat 1.3 Mio Franken und der Privatklägerschaft 1.8 Mio Franken. Der Beschwerdeführer könnte daher durchaus ernsthaft versucht sein, sich diesen Verbindlichkeiten (und der weiteren Strafverfolgung) durch Flucht zu entziehen. Dies umso mehr, als er sich auch schon im Ausland aufgehalten hat, seine Freundin in Brasilien lebt und seine Erwerbstätigkeit als Buchhalter und EDV-Berater nicht an die Schweiz gebunden ist. Denkbar wäre auch eine Flucht nach Deutschland, wo er sich als deutsch-schweizerischer Doppelbürger vor einer Auslieferung sicher fühlen könnte. Dazu kommt, dass er über den Verbleib der nach Auffassung des Bezirksgerichts deliktisch erworbenen Vermögenswerte von 1.8 Mio Franken keine Auskunft geben will, sodass damit zu rechnen ist, dass er darauf Zugriff hat und sie zum Aufbau einer neuen Existenz verwenden könnte. Die Beurteilung des Obergerichts, dass unter diesen Umständen Fluchtgefahr besteht, ist keineswegs bundesrechtswidrig, sondern drängt sich geradezu auf.</w:t>
      </w:r>
    </w:p>
    <w:p>
      <w:r>
        <w:t>Ebenfalls zutreffend ist die obergerichtliche Einschätzung, dass die Fluchtgefahr nur durch Sicherheitshaft gebannt werden kann und mildere Ersatzmassnahmen, wie etwa eine Schriftensperre, eine Flucht nicht verhindern könnten. Die Ausreise in ein Nachbarland - z.B. Deutschland - ist ohne Papiere einfach zu bewerkstelligen und wäre auch mit einer elektronischen Fussfessel möglich. Die Schweizer Behörden könnten zudem die Ausstellung von deutschen Reisepapieren nicht verhindern. Die Anordnung von Sicherheitshaft ist somit auch unter dem Gesichtspunkt der Verhältnismässigkeit nicht zu beanstanden.</w:t>
      </w:r>
    </w:p>
    <w:p>
      <w:r>
        <w:rPr>
          <w:b/>
        </w:rPr>
        <w:t>E. 3</w:t>
      </w:r>
    </w:p>
    <w:p>
      <w:r>
        <w:t>Die Beschwerde ist somit abzuweisen. 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