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1B_236/2013 vom 30. Januar 2014</w:t>
      </w:r>
    </w:p>
    <w:p>
      <w:r>
        <w:t>Bundesgericht, 2014-01-30, DE</w:t>
      </w:r>
    </w:p>
    <w:p>
      <w:r>
        <w:rPr>
          <w:b/>
        </w:rPr>
        <w:t xml:space="preserve">Quelle: </w:t>
      </w:r>
      <w:r>
        <w:t>https://mcp.opencaselaw.ch/entscheid/bger_1B_236_2013</w:t>
      </w:r>
    </w:p>
    <w:p>
      <w:r>
        <w:t>FR: TF 1B_236/2013 du 30 janvier 2014</w:t>
      </w:r>
    </w:p>
    <w:p>
      <w:r>
        <w:t>IT: TF 1B_236/2013 del 30 gennaio 2014</w:t>
      </w:r>
    </w:p>
    <w:p>
      <w:pPr>
        <w:pStyle w:val="Heading2"/>
      </w:pPr>
      <w:r>
        <w:t>Erwägungen</w:t>
      </w:r>
    </w:p>
    <w:p>
      <w:r>
        <w:rPr>
          <w:b/>
        </w:rPr>
        <w:t>E. 1</w:t>
      </w:r>
    </w:p>
    <w:p>
      <w:r>
        <w:t>Angefochten ist ein Rückweisungsentscheid der kantonalen Beschwerdeinstanz, mit dem strafprozessuale Zwischenverfügungen (betreffend Verwendung von Zufallsfunden) aufgehoben und zur Neubeurteilung an das Zwangsmassnahmengericht zurückgewiesen werden. Zu prüfen ist, ob die Eintretensvoraussetzungen (von Art. 78 Abs. 1 und Art. 80 Abs. 1 i.V.m. Art. 93 Abs. 1 lit. a BGG ) erfüllt sind.</w:t>
      </w:r>
    </w:p>
    <w:p>
      <w:r>
        <w:rPr>
          <w:b/>
        </w:rPr>
        <w:t>E. 1.1</w:t>
      </w:r>
    </w:p>
    <w:p>
      <w:r>
        <w:t>Als oberste rechtsprechende Behörde des Bundes soll sich das Bundesgericht in der Regel nur einmal mit der gleichen Streitsache befassen müssen. Nach ständiger Praxis zu Art. 93 Abs. 1 lit. a BGG ist ein strafprozessualer Zwischenentscheid daher nur ausnahmsweise mit Beschwerde in Strafsachen anfechtbar, sofern ein konkreter rechtlicher Nachteil droht, der auch durch einen (für die rechtsuchende Partei günstigen) Endentscheid nachträglich nicht mehr behoben werden könnte ( BGE 139 IV 113 E. 1 S. 115 mit Hinweis). Blosse Rückweisungsentscheide begründen nur ausnahmsweise einen nicht wieder gutzumachenden Nachteil (vgl. BGE 133 V 477 E. 4.2 S. 481 f., E. 5.2 S. 483 ff., mit Hinweisen). Sofern die Sachurteilsvoraussetzungen nicht ohne Weiteres aus den Akten ersichtlich werden, obliegt es grundsätzlich der beschwerdeführenden Partei darzulegen, inwiefern sie erfüllt sind (vgl. BGE 133 II 249 E. 1.1 S. 251, 353 E. 1 S. 356).</w:t>
      </w:r>
    </w:p>
    <w:p>
      <w:r>
        <w:rPr>
          <w:b/>
        </w:rPr>
        <w:t>E. 1.2</w:t>
      </w:r>
    </w:p>
    <w:p>
      <w:r>
        <w:t>Der beschwerdeführenden Staatsanwaltschaft ist zwar darin zuzustimmen, dass die Frage der Verwendbarkeit von Zufallsfunden aus Telefonüberwachungen noch im Untersuchungsverfahren abschliessend zu klären ist und nicht erst im Rechtsmittelverfahren gegen den Endentscheid bzw. gegen das letztinstanzliche Strafurteil (vgl. zur amtlichen Publikation bestimmtes Urteil 1B_175/2013 vom 13. November 2013 E. 1.1). Sie verkennt jedoch, dass hier kein letztinstanzlicher kantonaler Zwischenentscheid betreffend Beweisverwertung angefochten ist, sondern ein blosser Rückweisungsentscheid.</w:t>
      </w:r>
    </w:p>
    <w:p>
      <w:r>
        <w:rPr>
          <w:b/>
        </w:rPr>
        <w:t>E. 1.3</w:t>
      </w:r>
    </w:p>
    <w:p>
      <w:r>
        <w:t>Im angefochtenen Entscheid erwägt das Obergericht, es sei (aufgrund der ihm vorgelegten Unterlagen) nicht ersichtlich, wer auf welche Weise die Auswertungsprotokolle der Telefonüberwachungen (aus dem Verfahren gegen einen anderen Beschuldigten) erstellt und übersetzt habe und ob die notwendigen behördlichen Instruktionen (insbesondere betreffend die Straffolgen einer bewusst falschen Übersetzung) erfolgt waren. Die Protokolle der aufgezeichneten Gespräche seien (nötigenfalls) nochmals gesetzeskonform zu transkribieren und zu übersetzen, bevor sie als Zufallsfunde im vorliegenden Untersuchungsverfahren verwendet werden könnten. Ausserdem genüge die erstinstanzliche Begründung den Anforderungen des rechtlichen Gehörs nicht. Die Sache wurde in diesem Sinne zur neuen Prüfung an das Zwangsmassnahmengericht zurückgewiesen.</w:t>
      </w:r>
    </w:p>
    <w:p>
      <w:r>
        <w:rPr>
          <w:b/>
        </w:rPr>
        <w:t>E. 1.4</w:t>
      </w:r>
    </w:p>
    <w:p>
      <w:r>
        <w:t>Der Staatsanwaltschaft bleibt es unbenommen, gegen den ausstehenden (kantonal letztinstanzlichen) materiellen Zwischenentscheid - nötigenfalls - Beschwerde an das Bundesgericht zu erheben. Sie legt nicht dar, weshalb in einer blossen Neubeurteilung durch das Zwangsmassnahmengericht ein nicht wieder gutzumachender Rechtsnachteil läge. Zwar macht sie geltend, bei einer "frühzeitigen Bekanntgabe" des für die Übersetzung der fraglichen Protokolle herangezogenen Dolmetschers drohe dessen Beeinflussung, bei einer zu späten Bekanntgabe die Unverwertbarkeit der Zufallsfunde. Sie substanziiert jedoch nicht, inwiefern im hängigen kantonalen Verfahren zwangsläufig eine unsachgemässe (zu frühe oder zu späte) Bekanntgabe des Dolmetschers drohen würde. Darüber hinaus ist weder dargetan, noch ersichtlich, weshalb die Staatsanwaltschaft im hängigen kantonalen Verfahren nicht geeignete Rechtsbegehren bzw. Anträge zum vorläufigen Rechtsschutz (Art. 387-388 i.V.m. Art. 379 StPO ) stellen könnte, um einem allfälligen Beweisverlust oder drohenden Kollusionshandlungen vorzubeugen.</w:t>
      </w:r>
    </w:p>
    <w:p>
      <w:r>
        <w:rPr>
          <w:b/>
        </w:rPr>
        <w:t>E. 2</w:t>
      </w:r>
    </w:p>
    <w:p>
      <w:r>
        <w:t>Auf die Beschwerde gegen den angefochtenen Rückweisungsentscheid ist nicht einzutreten.</w:t>
      </w:r>
    </w:p>
    <w:p>
      <w:r>
        <w:t>Dem Ausgang des bundesgerichtlichen Verfahrens entsprechend sind keine Gerichtskosten zu erheben ( Art. 66 Abs. 4 BGG ). Der Kanton Thurgau hat dem privaten Beschwerdegegner für das Verfahren vor dem Bundesgericht antragsgemäss eine angemessene Parteientschädigung zu entrichten ( Art. 68 Abs. 2 BGG ). Das betreffende Honorar wird dem amtlichen Verteidiger persönlich zugesprochen (vgl.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