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1B_235/2020 vom 19. Mai 2020</w:t>
      </w:r>
    </w:p>
    <w:p>
      <w:r>
        <w:t>Bundesgericht, 2020-05-19, DE</w:t>
      </w:r>
    </w:p>
    <w:p>
      <w:r>
        <w:rPr>
          <w:b/>
        </w:rPr>
        <w:t xml:space="preserve">Quelle: </w:t>
      </w:r>
      <w:r>
        <w:t>https://mcp.opencaselaw.ch/entscheid/bger_1B_235_2020</w:t>
      </w:r>
    </w:p>
    <w:p>
      <w:r>
        <w:t>FR: TF 1B_235/2020 du 19 mai 2020</w:t>
      </w:r>
    </w:p>
    <w:p>
      <w:r>
        <w:t>IT: TF 1B_235/2020 del 19 maggio 2020</w:t>
      </w:r>
    </w:p>
    <w:p>
      <w:pPr>
        <w:pStyle w:val="Heading2"/>
      </w:pPr>
      <w:r>
        <w:t>Erwägungen</w:t>
      </w:r>
    </w:p>
    <w:p>
      <w:r>
        <w:rPr>
          <w:b/>
        </w:rPr>
        <w:t>E. 1</w:t>
      </w:r>
    </w:p>
    <w:p>
      <w:r>
        <w:t>Der Privatkläger A.A.________ reichte am 30. Oktober 2019 Beschwerde gegen die Sistierungsverfügung der Staatsanwaltschaft Abteilung 1 Luzern vom 30. September 2019 ein und verlangte sinngemäss die Aufhebung der Sistierung und die Fortsetzung des Strafverfahrens. Mit Schreiben vom 2. April 2020 zog A.A.________ die Beschwerde zurück. Das Kantonsgericht Luzern schrieb mit Verfügung vom 9. April 2020 das Beschwerdeverfahren zufolge Rückzugs als erledigt ab und auferlegte die Gerichtsgebühr von Fr. 1'000.-- A.A.________.</w:t>
      </w:r>
    </w:p>
    <w:p>
      <w:r>
        <w:rPr>
          <w:b/>
        </w:rPr>
        <w:t>E. 2</w:t>
      </w:r>
    </w:p>
    <w:p>
      <w:r>
        <w:t>A.A.________ führt mit Eingabe vom 13. Mai 2020 Beschwerde in Strafsachen gegen die Verfügung des Kantonsgerichts Luzern vom 9. April 2020. Er beanstandet die Auferlegung der Gerichtsgebühr.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Kantonsgericht führte in seiner Begründung aus, dass die Kosten des Rechtsmittelverfahrens die Parteien nach Massgabe ihres Obsiegens oder Unterliegens tragen. Als unterliegend gelte auch die Partei, auf deren Rechtsmittel nicht eingetreten werde oder die das Rechtsmittel zurückziehe ( Art. 428 Abs. 1 StPO ). Der Kostenrahmen sei von Fr. 500.-- bis Fr. 5'000.-- festgesetzt. Im vorliegenden Verfahren müsse berücksichtigt werden, dass der Beschwerderückzug erst erfolgte, als bereits ein Beschlussreferat ausgearbeitet und in Zirkulation gesetzt worden sei. Aufgrund der umfangreichen Beschwerdeschrift sei dies mit einem nicht unerheblichen Aufwand verbunden gewesen.</w:t>
      </w:r>
    </w:p>
    <w:p>
      <w:r>
        <w:t>Der Beschwerdeführer vermag mit seinen Ausführungen nicht aufzuzeigen, inwiefern das Kantonsgericht Art. 428 Abs. 1 StPO oder den genannten Kostenrahmen rechts- bzw. verfassungswidrig angewendet hätte. Er legt nicht konkret und nachvollziehbar dar,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