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1B_235/2017 vom 15. Juni 2017</w:t>
      </w:r>
    </w:p>
    <w:p>
      <w:r>
        <w:t>Bundesgericht, 2017-06-15, DE</w:t>
      </w:r>
    </w:p>
    <w:p>
      <w:r>
        <w:rPr>
          <w:b/>
        </w:rPr>
        <w:t xml:space="preserve">Quelle: </w:t>
      </w:r>
      <w:r>
        <w:t>https://mcp.opencaselaw.ch/entscheid/bger_1B_235_2017</w:t>
      </w:r>
    </w:p>
    <w:p>
      <w:r>
        <w:t>FR: TF 1B_235/2017 du 15 juin 2017</w:t>
      </w:r>
    </w:p>
    <w:p>
      <w:r>
        <w:t>IT: TF 1B_235/2017 del 15 giugno 2017</w:t>
      </w:r>
    </w:p>
    <w:p>
      <w:pPr>
        <w:pStyle w:val="Heading2"/>
      </w:pPr>
      <w:r>
        <w:t>Erwägungen</w:t>
      </w:r>
    </w:p>
    <w:p>
      <w:r>
        <w:rPr>
          <w:b/>
        </w:rPr>
        <w:t>E. 1</w:t>
      </w:r>
    </w:p>
    <w:p>
      <w:r>
        <w:t>Die Gerichtspräsidentin des Regionalgerichts Berner Jura-Seeland wies mit Verfügung vom 22. Mai 2017 Verfahrens- und Beweisanträge des Beschuldigten A.________ ab. Dagegen erhob A.________ am 23. Mai 2017 Beschwerde, welche die Beschwerdekammer in Strafsachen des Obergerichts des Kantons Bern mit Beschluss vom 6. Juni 2017 abwies, soweit sie darauf eintrat. Zur Begründung führte die Beschwerdekammer zusammenfassend aus, dass die örtliche Zuständigkeit der Regionalen Staatsanwaltschaft Berner Jura-Seeland beziehungsweise des Regionalgerichts Berner Jura-Seeland offensichtlich gegeben sei. Art. 34 Abs. 1 StPO regle den Gerichtsstand bei mehreren an verschiedenen Orten verübten Straftaten. Bei gleichen Strafdrohungen seien die Behörden des Ortes zuständig, an dem zuerst Verfolgungshandlungen vorgenommen worden seien. Vorliegend handle es sich um zwei einfache Verkehrsregelverletzungen. Die Regionalpolizei Seeland-Berner Jura und die Regionale Staatsanwaltschaft Berner Jura-Seeland hätten als erste Behörden Verfolgungshandlungen vorgenommen. Bei den abgewiesenen Beweisanträgen handle es sich um verfahrensleitende Entscheide, die gemäss Art. 393 Abs. 1 lit. b StPO der Beschwerde nicht zugänglich seien. Somit sei darauf nicht einzutreten.</w:t>
      </w:r>
    </w:p>
    <w:p>
      <w:r>
        <w:rPr>
          <w:b/>
        </w:rPr>
        <w:t>E. 2</w:t>
      </w:r>
    </w:p>
    <w:p>
      <w:r>
        <w:t>A.________ führt mit Eingabe vom 10. Juni 2017 (Postaufgabe 12. Juni 2017)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macht geltend, der beanstandete Beschluss verstosse gegen "mein rechtliches Gehör, die Verfassung und die EMRK". Er unterlässt es jedoch im Einzelnen und nachvollziehbar aufzuzeigen, inwiefern der beanstandete Beschluss konkret Recht im Sinne von Art. 42 Abs. 2 BGG verletzen sollte. Aus seinen Ausführungen ist nicht ansatzweise ersichtlich, inwiefern die Begründung der Beschwerdekammer bzw. deren Beschluss selbst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