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1B_234/2021 vom 21. Mai 2021</w:t>
      </w:r>
    </w:p>
    <w:p>
      <w:r>
        <w:t>Bundesgericht, 2021-05-21, FR</w:t>
      </w:r>
    </w:p>
    <w:p>
      <w:r>
        <w:rPr>
          <w:b/>
        </w:rPr>
        <w:t xml:space="preserve">Quelle: </w:t>
      </w:r>
      <w:r>
        <w:t>https://mcp.opencaselaw.ch/entscheid/bger_1B_234_2021</w:t>
      </w:r>
    </w:p>
    <w:p>
      <w:r>
        <w:t>FR: TF 1B_234/2021 du 21 mai 2021</w:t>
      </w:r>
    </w:p>
    <w:p>
      <w:r>
        <w:t>IT: TF 1B_234/2021 del 21 maggio 2021</w:t>
      </w:r>
    </w:p>
    <w:p>
      <w:pPr>
        <w:pStyle w:val="Heading2"/>
      </w:pPr>
      <w:r>
        <w:t>Erwägungen</w:t>
      </w:r>
    </w:p>
    <w:p>
      <w:r>
        <w:rPr>
          <w:b/>
        </w:rPr>
        <w:t>E. 1</w:t>
      </w:r>
    </w:p>
    <w:p>
      <w:r>
        <w:t>Le recours en matière pénale ( art. 78 al. 1 LTF ) est ouvert contre une décision relative au maintien en détention provisoire au sens des art. 212 ss CPP . Selon l'art. 81 al. 1 let. a et let. b ch. 1 LTF, le recourant, prévenu et détenu, a qualité pour recourir. Pour le surplus, le recours a été formé en temps utile ( art. 100 al. 1 LTF ) contre une décision rendue en dernière instance cantonale ( art. 80 al. 1 LTF ) et les conclusions présentées sont recevables au regard de l' art. 107 al. 2 LTF . Partant, il y a lieu d'entrer en matière.</w:t>
      </w:r>
    </w:p>
    <w:p>
      <w:r>
        <w:rPr>
          <w:b/>
        </w:rPr>
        <w:t>E. 2</w:t>
      </w:r>
    </w:p>
    <w:p>
      <w:r>
        <w:t>Le recourant ne conteste pas les charges retenues contre lui, qui consistent dans le vol d'usage du véhicule de sa mère, la conduite sans permis valable et sous l'influence de produits stupéfiants (art. 90 al. 2 let. a et 95 al. 1 let. a LCR), l'entrave aux mesures de constatation d'incapacité de conduire ( art. 91a LCR ) et une violation de la LStup. Il conteste en revanche l'existence d'un risque de récidive en relevant que le seul antécédent est le vol d'usage d'un véhicule bridé à 40 km/h avec les clés sur le contact, alors qu'il avait consommé des stupéfiants. Il n'aurait causé aucun accident ni aucune mise en danger. Son maintien en détention depuis début octobre 2020 serait en réalité fondé sur son état de santé psychique, sur la base de l'expertise du 11 décembre 2020. Le recourant estime que ce rapport contiendrait des imprécisions (notamment sur sa situation familiale) et que les diagnostics retenus, basés en partie sur de précédents avis, sans discussion, poseraient de nombreuses questions. En particulier, l'estimation du risque de récidive ("modéré/fort") ne serait ni motivée, ni compréhensible.</w:t>
      </w:r>
    </w:p>
    <w:p>
      <w:r>
        <w:rPr>
          <w:b/>
        </w:rPr>
        <w:t>E. 2.1</w:t>
      </w:r>
    </w:p>
    <w:p>
      <w:r>
        <w:t>En vertu de l' art. 221 al. 1 let . c CPP, la détention provisoire ou pour des motifs de sûreté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143 IV 9 consid. 2.5). La gravité de l'infraction fondant le risque de récidive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 ATF 143 IV 9 consid. 2.6 et 2.7).</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143 IV 9 consid. 2.8).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146 IV 136 consid. 2.2; 143 IV 9 consid. 2.9).</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w:t>
      </w:r>
    </w:p>
    <w:p>
      <w:r>
        <w:rPr>
          <w:b/>
        </w:rPr>
        <w:t>E. 2.2</w:t>
      </w:r>
    </w:p>
    <w:p>
      <w:r>
        <w:t>Le recourant se voit reprocher des infractions de vol d'usage d'un véhicule, de conduite sans permis valable et sous l'emprise des stupéfiants, d'entrave aux mesures de constatation d'incapacité de conduite ainsi que de contravention à la Lstup. Il ne lui est notamment pas reproché de participer à un trafic illicite de stupéfiants. Le jour de son arrestation, il conduisait sans permis le véhicule de sa mère - sans le consentement de celle-ci - et se trouvait sous l'influence de la cocaïne. Le seul antécédent retenu est le vol d'usage d'un véhicule bridé à 40 km/h, les clés se trouvant sur le tableau de bord; le recourant s'était alors rendu dans le village voisin où il avait abandonné le véhicule. Il n'a commis aucun accident ni perte de maîtrise. Il ne s'agit pas de délits de violence grave et délibérée et la fréquence des agissements reprochés au recourant pouvant mettre des tiers en danger n'est pas non plus particulière (cf. arrêt 1B_3/2019 du 17 janvier 2019 consid. 3.2: cas d'un prévenu ayant conduit à de nombreuses reprises sans permis et commis des pertes de maîtrise graves ayant mis concrètement en danger les passagers du véhicule, et qui se voyait en outre reprocher des comportements menaçants). Même s'il qualifie le risque de récidive de modéré à fort, l'expert ne met pas en évidence une tendance à l'aggravation des comportements du recourant. Les seuls actes de violence ont été commis sur sa propre personne (tentative de suicide en avril 2020).</w:t>
      </w:r>
    </w:p>
    <w:p>
      <w:r>
        <w:t>En dépit d'un diagnostic médical encore flou et contesté, l'expert et les deux médecins mandatés par le recourant s'accordent sur la nécessité d'imposer un encadrement afin de prévenir la consommation de stupéfiants, d'assurer une médication adéquate et d'éviter que le recourant ne réitère des comportements qui restent dangereux pour autrui (conduite sans permis et sous l'influence des stupéfiants). Les instances précédentes ont d'ailleurs reconnu l'opportunité de mesures de substitution, sous la forme de l'exécution anticipée d'une mesure thérapeutique au sens de l' art. 59 CP . Toutefois, un placement n'a pas pu être réalisé car aucun établissement n'a été trouvé; l'établissement Curabilis a en particulier indiqué qu'un séjour n'apporterait "aucune plus-value dans la symptomatologie chronique" du recourant. Le maintien en détention du recourant après plus de sept mois, au motif qu'un établissement adéquat n'a pas pu être trouvé, contrevient dans ces circonstances au principe de la proportionnalité. S'il y a lieu de retenir un certain risque de réitération, force est de reconnaître que celui-ci ne justifie plus non plus un maintien en détention vu ce qui précède. Le recours doit par conséquent être admis pour ces motifs.</w:t>
      </w:r>
    </w:p>
    <w:p>
      <w:r>
        <w:rPr>
          <w:b/>
        </w:rPr>
        <w:t>E. 2.3</w:t>
      </w:r>
    </w:p>
    <w:p>
      <w:r>
        <w:t>Cela étant, la jurisprudence considère que l'on peut se montrer moins exigeant quant à l'intensité du risque de récidive lorsqu'il est question de mesures de substitution moins contraignantes qu'une privation de liberté (cf. pour le risque de récidive: arrêts 1B_167/2021 du 5 mai 2021 consid. 5.4 in fine; 1B_461/2020 du 14 octobre 2020 consid. 5.3 in fine; pour le risque de fuite: ATF 133 I 27 consid. 3.3; arrêt 1B_26072017 du 19 juillet 2017 consid. 3.1; FREI/ZUBERBÜHLER ELSÄSSER, SK-Kommentar StPO, 3ème éd. 2020, n° 2 ad art. 237). Le recourant conclut d'ailleurs expressément dans son acte de recours à ce que des mesures de substitution soient prononcées, sous la forme d'un suivi ambulatoire, sans toutefois en préciser clairement la nature. Il y a dès lors lieu de renvoyer la cause à la cour cantonale afin qu'elle ordonne, après instruction, les mesures de substitution adéquates. Celles-ci pourront consister dans un suivi médical ambulatoire avec une médication appropriée, un contrôle de la prise des médicaments et de l'abstinence aux produits stupéfiants, ainsi que des mesures pratiques tendant à empêcher le recourant de prendre le véhicule de sa mère. La cour cantonale examinera également s'il y a lieu d'informer l'autorité de protection de l'adulte compétente en vue d'éventuelles mesures au sens du Code civil.</w:t>
      </w:r>
    </w:p>
    <w:p>
      <w:r>
        <w:rPr>
          <w:b/>
        </w:rPr>
        <w:t>E. 3</w:t>
      </w:r>
    </w:p>
    <w:p>
      <w:r>
        <w:t>Sur le vu de ce qui précède, le recours est admis. L'ordonnance attaquée est annulée et la cause est renvoyée à la Chambre pénale afin qu'elle statue à brève échéance sur la mise en liberté du recourant moyennant des mesures de substitution. Dans l'attente de la nouvelle décision de la cour cantonale, le recourant restera en détention. La demande de mise en liberté immédiate doit donc être rejetée à ce stade. Le recourant obtient gain de cause avec l'assistance d'un avocat. Il a donc droit à des dépens, à la charge du canton du Valais ( art. 68 al. 2 LTF ). Cela rend sans objet la demande d'assistance judiciaire.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