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1B_234/2018 vom 27. Juli 2018</w:t>
      </w:r>
    </w:p>
    <w:p>
      <w:r>
        <w:t>Bundesgericht, 2018-07-27, FR</w:t>
      </w:r>
    </w:p>
    <w:p>
      <w:r>
        <w:rPr>
          <w:b/>
        </w:rPr>
        <w:t xml:space="preserve">Quelle: </w:t>
      </w:r>
      <w:r>
        <w:t>https://mcp.opencaselaw.ch/entscheid/bger_1B_234_2018</w:t>
      </w:r>
    </w:p>
    <w:p>
      <w:r>
        <w:t>FR: TF 1B_234/2018 du 27 juillet 2018</w:t>
      </w:r>
    </w:p>
    <w:p>
      <w:r>
        <w:t>IT: TF 1B_234/2018 del 27 luglio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 p. 130).</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 143 IV 387 consid. 4.4 p. 394).</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(pour un exemple, ATF 144 IV 127 consid. 1.3.3 p. 131)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3</w:t>
      </w:r>
    </w:p>
    <w:p>
      <w:r>
        <w:t>Il s'agit dès lors d'examiner si la confirmation par la cour cantonale du refus du Ministère public de retirer du dossier pénal l'enregistrement litigieux cause un préjudice irréparable au recourant.</w:t>
      </w:r>
    </w:p>
    <w:p>
      <w:r>
        <w:rPr>
          <w:b/>
        </w:rPr>
        <w:t>E. 3.1</w:t>
      </w:r>
    </w:p>
    <w:p>
      <w:r>
        <w:t>Sous l'angle de la recevabilité, le recourant ne développe aucune argumentation en lien avec l' art. 140 CPP . Cela étant, il soutient au fond que l'enregistrement litigieux aurait été obtenu par le biais d'une tromperie illicite au sens de l' art. 140 al. 1 CPP , situation qui exclurait toute exploitation de ce moyen de preuve ( art. 141 al. 1 CPP ). On comprend donc que son maintien au dossier pénal, respectivement son exploitation en tant que preuve contre le recourant, lui causerait un préjudice irréparable.</w:t>
      </w:r>
    </w:p>
    <w:p>
      <w:r>
        <w:t>La procédure pénale contient des dispositions sur les méthodes d'administration des preuves interdites ( art. 140 CPP ) et sur l'exploitation des moyens de preuves obtenus illégalement ( art. 141 CPP ). Elle ne règle en revanche pas de manière explicite dans quelle mesure ces dispositions s'appliquent quand les moyens de preuve sont récoltés, non pas par les autorités, mais par des personnes privées (arrêts 6B_911/2017 du 27 avril 2018 consid. 1.1; 1B_76/2016 du 30 mars 2016 consid. 2.2). Dans une telle situation, il n'existe donc pas d'interdiction de principe de les exploiter (arrêt 1B_76/2016 du 30 mars 2016 consid. 2.1; SABINE GLESS, in Basler Kommentar, Schweizerische Strafprozessordnung, Art. 1-196 StPO, 2e éd. 2014, n° 40c ad art. 141 CPP ). Cela étant, selon la jurisprudence, de tels moyens de preuve sont uniquement exploitables si, cumulativement, ils auraient pu être obtenus par les autorités de poursuite pénale conformément à la loi et si une pesée des intérêts en présence justifie leur exploitation (arrêt 6B_911/2017 du 27 avril 2018 consid. 1.1 et les nombreux arrêts cités). En tout état de cause, au stade de l'instruction, il convient de ne constater l'inexploitabilité de ce genre de moyen de preuve que dans des cas manifestes (MOREILLON/PAREIN-REYMOND, Petit commentaire, Code de procédure pénale, 2</w:t>
      </w:r>
    </w:p>
    <w:p>
      <w:r>
        <w:t>e éd. 2016, n° 5 ad art. 141 CPP ).</w:t>
      </w:r>
    </w:p>
    <w:p>
      <w:r>
        <w:t>En l'occurrence et dans la mesure où l' art. 140 CPP s'appliquerait, les circonstances d'espèce ne permettent pas de retenir que la partie plaignante - mineure victime des comportements dénoncés - aurait eu un tel ascendant sur le recourant - son frère aîné de quatre ans auteur présumé des graves infractions reprochées - pour retenir que les déclarations éventuellement mensongères de la première constitueraient des moyens de contrainte, des menaces ou des tromperies au sens de l' art. 140 CPP (sur cette dernière notion en lien avec le comportement d'autorités, voir ATF 144 IV 23 consid. 4.2 p. 25 ss) qui auraient été susceptibles de restreindre le libre arbitre du second. Cela paraît d'autant moins être le cas que le recourant s'est lui-même interrogé à différentes reprises au moment des faits sur la possibilité que la conversation en cause puisse être enregistrée (cf. en particulier ad 51/iii, iv, v et vi de son mémoire de recours). L'enregistrement peut-être obtenu de manière illicite par la partie plaignante n'apparaît ainsi pas d'emblée manifestement inexploitable au sens de l' art. 141 al. 1 CPP et le recourant ne subit par conséquent aucun préjudice irréparable justifiant d'entrer en matière sur son recours. Il pourra d'ailleurs réitérer ses griefs devant le juge du fond, à qui il appartient de se prononcer sur ces questions (légalité et exploitabilité des moyens de preuve notamment dans des cas d'application de l' art. 141 al. 2 CPP ).</w:t>
      </w:r>
    </w:p>
    <w:p>
      <w:r>
        <w:rPr>
          <w:b/>
        </w:rPr>
        <w:t>E. 3.2</w:t>
      </w:r>
    </w:p>
    <w:p>
      <w:r>
        <w:t>Aucune autre circonstance spécifique du cas d'espèce ne justifie non plus une entrée en matière immédiate.</w:t>
      </w:r>
    </w:p>
    <w:p>
      <w:r>
        <w:t>En effet, la prolongation de la détention provisoire n'est pas l'objet du présent litige et dès lors, un préjudice au sens de l' art. 93 al. 1 let. a LTF ne découle pas de cette situation particulière. Cela vaut d'ailleurs d'autant plus que les charges au sens de l' art. 221 al. 1 CPP retenues à son encontre par la Chambre pénale de recours dans son arrêt du 23 mars 2018 sont en lien, non pas avec les faits relatifs à l'enregistrement litigieux, mais avec les menaces proférées en janvier et février 2018 (cf. consid. 2.2 p. 6 s. de ce jugement) et que le recourant - certes soumis à des mesures de substitution - a été remis en liberté à la suite de ce prononcé.</w:t>
      </w:r>
    </w:p>
    <w:p>
      <w:r>
        <w:t>Un préjudice irréparable ne saurait non plus résulter du défaut de classement de la procédure, même si cette mesure avait été envisagée par le Ministère public dans son avis de prochaine clôture du 27 octobre 2017. En effet, la reprise de l'instruction à la suite de la production de l'enregistrement litigieux - simple aléa de procédure pouvant résulter de différentes causes (réquisitions de preuve à la suite de l'avis de clôture ou en application de l' art. 323 CPP ) - n'exclut en tout cas pas de manière définitive qu'une autre décision favorable au recourant puisse être rendue ultérieurement.</w:t>
      </w:r>
    </w:p>
    <w:p>
      <w:r>
        <w:rPr>
          <w:b/>
        </w:rPr>
        <w:t>E. 4</w:t>
      </w:r>
    </w:p>
    <w:p>
      <w:r>
        <w:t>Il s'ensuit que le recours est irrecevable.</w:t>
      </w:r>
    </w:p>
    <w:p>
      <w:r>
        <w:t>Le recourant a demandé l'octroi de l'assistance judiciaire ( art. 64 al. 1 LTF ). Vu l'issue du litige, celui-ci était manifestement dénué de chances de succès et cette requête doit être rejetée. Le recourant supporte donc les frais judiciaires ( art. 66 al. 1 LTF ); ceux-ci seront toutefois exceptionnellement réduits afin de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