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1B_234/2009 vom 10. September 2009</w:t>
      </w:r>
    </w:p>
    <w:p>
      <w:r>
        <w:t>Bundesgericht, 2009-09-10, FR</w:t>
      </w:r>
    </w:p>
    <w:p>
      <w:r>
        <w:rPr>
          <w:b/>
        </w:rPr>
        <w:t xml:space="preserve">Quelle: </w:t>
      </w:r>
      <w:r>
        <w:t>https://mcp.opencaselaw.ch/entscheid/bger_1B_234_2009</w:t>
      </w:r>
    </w:p>
    <w:p>
      <w:r>
        <w:t>FR: TF 1B_234/2009 du 10 septembre 2009</w:t>
      </w:r>
    </w:p>
    <w:p>
      <w:r>
        <w:t>IT: TF 1B_234/2009 del 10 settembre 2009</w:t>
      </w:r>
    </w:p>
    <w:p>
      <w:pPr>
        <w:pStyle w:val="Heading2"/>
      </w:pPr>
      <w:r>
        <w:t>Erwägungen</w:t>
      </w:r>
    </w:p>
    <w:p>
      <w:r>
        <w:rPr>
          <w:b/>
        </w:rPr>
        <w:t>E. 1</w:t>
      </w:r>
    </w:p>
    <w:p>
      <w:r>
        <w:t>A.________ a fait appel contre une sentence municipale rendue à son encontre le 9 octobre 2008 auprès du Tribunal d'arrondissement de Lausanne.</w:t>
      </w:r>
    </w:p>
    <w:p>
      <w:r>
        <w:t>Le 20 juillet 2009, il a requis la récusation de la Présidente de cette juridiction, Fabienne Byrde, au motif qu'elle aurait refusé de se distancier d'autres magistrats cantonaux et fédéraux qu'il accuse de création et usage de faux dans les titres, de crime et complicité de crimes contre la santé mentale et l'intégrité corporelle des élèves, d'impunité offerte à l'entreprise X.________ dans le viol de l'interdiction de cibler les jeunes avec la publicité pour le tabac, de complicité de crimes contre l'humanité dans les PVD et d'incitation à violer une loi.</w:t>
      </w:r>
    </w:p>
    <w:p>
      <w:r>
        <w:t>Statuant par arrêt du 24 juillet 2009, la Cour administrative du Tribunal cantonal du canton de Vaud a écarté la demande jugée abusive.</w:t>
      </w:r>
    </w:p>
    <w:p>
      <w:r>
        <w:t>A.________ a recouru le 24 août 2009 contre cet arrêt auprès du Tribunal fédéral en concluant à son annulation. Il n'a pas été ordonné d'échange d'écritures. Le Tribunal cantonal a produit le dossier de la cause.</w:t>
      </w:r>
    </w:p>
    <w:p>
      <w:r>
        <w:rPr>
          <w:b/>
        </w:rPr>
        <w:t>E. 2</w:t>
      </w:r>
    </w:p>
    <w:p>
      <w:r>
        <w:t>Le recourant persiste à exiger la récusation de magistrats qui refusent de signer une déclaration de "non-parjure" ou de se distancier des agissements qu'il estime criminels d'autres juges ou magistrats. Le Tribunal fédéral a déjà qualifié pareille requête de procédurière ou d'abusive (arrêt 1B_102/2007 du 4 juin 2007). Il n'en va pas autrement de la demande de récusation formulée à l'encontre de la Présidente du Tribunal d'arrondissement de Lausanne et, par conséquent, du recours interjeté contre la décision cantonale écartant cette demande, qui doit être d'emblée déclaré irrecevable en application de l' art. 108 al. 1 let . c LTF.</w:t>
      </w:r>
    </w:p>
    <w:p>
      <w:r>
        <w:rPr>
          <w:b/>
        </w:rPr>
        <w:t>E. 3</w:t>
      </w:r>
    </w:p>
    <w:p>
      <w:r>
        <w:t>Vu l'issue du recours, les frais judiciaires seront mis à la charge du recourant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