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234/2008 vom 8. September 2008</w:t>
      </w:r>
    </w:p>
    <w:p>
      <w:r>
        <w:t>Bundesgericht, 2008-09-08, DE</w:t>
      </w:r>
    </w:p>
    <w:p>
      <w:r>
        <w:rPr>
          <w:b/>
        </w:rPr>
        <w:t xml:space="preserve">Quelle: </w:t>
      </w:r>
      <w:r>
        <w:t>https://mcp.opencaselaw.ch/entscheid/bger_1B_234_2008</w:t>
      </w:r>
    </w:p>
    <w:p>
      <w:r>
        <w:t>FR: TF 1B 234/2008 du 8 septembre 2008</w:t>
      </w:r>
    </w:p>
    <w:p>
      <w:r>
        <w:t>IT: TF 1B 234/2008 del 8 settembre 2008</w:t>
      </w:r>
    </w:p>
    <w:p>
      <w:pPr>
        <w:pStyle w:val="Heading2"/>
      </w:pPr>
      <w:r>
        <w:t>Regeste</w:t>
      </w:r>
    </w:p>
    <w:p>
      <w:r>
        <w:t>Haftentlassung | Strafprozess</w:t>
      </w:r>
    </w:p>
    <w:p>
      <w:pPr>
        <w:pStyle w:val="Heading2"/>
      </w:pPr>
      <w:r>
        <w:t>Erwägungen</w:t>
      </w:r>
    </w:p>
    <w:p>
      <w:r>
        <w:rPr>
          <w:b/>
        </w:rPr>
        <w:t>E. 1</w:t>
      </w:r>
    </w:p>
    <w:p>
      <w:r>
        <w:t>Angefochten ist hier kein vollzugsrechtlicher Entscheid betreffend Verweigerung der bedingten Entlassung aus dem Strafvollzug. Das Strafurteil vom 15. Mai 2008 ist noch nicht rechtskräftig, weshalb noch kein Strafvollzug angeordnet wurde. Die kantonalen Instanzen haben die Eingaben des Beschwerdeführers zutreffend als Rechtsbegehren um Entlassung aus der (strafprozessualen) Sicherheitshaft behandelt. Die Vorinstanz bejahte im angefochtenen Entscheid den Haftgrund der Wiederholungsgefahr und sie verneinte das Vorliegen von strafprozessualer Überhaft. Die Eintretenserfordernisse von Art. 78 ff. BGG (vgl. BGE 133 I 270 E. 1.1 S. 272 f. mit Hinweisen) geben hier zu keinen Bemerkungen Anlass.</w:t>
      </w:r>
    </w:p>
    <w:p>
      <w:r>
        <w:rPr>
          <w:b/>
        </w:rPr>
        <w:t>E. 2</w:t>
      </w:r>
    </w:p>
    <w:p>
      <w:r>
        <w:t>Der Beschwerdeführer bestreitet zum einen den besonderen Haftgrund der Wiederholungsgefahr. Zum anderen macht er geltend, die bisher absolvierte strafprozessuale Haftdauer sei unverhältnismässig und verletze das Willkürverbot sowie das verfassungsmässige Individualrecht der persönlichen Freiheit, weshalb er freizulassen sei. Im Strafverfahren, das zum rechtskräftigen Strafurteil vom 21. September 2006 führte (Widerruf des bedingten Strafvollzuges), habe er bereits 2006 Untersuchungshaft absolviert. Im nachfolgenden Verfahren (mit erstinstanzlichem Urteil vom 15. Mai 2008) sei er (Anfang Juni 2008 und anschliessend ununterbrochen seit 25. Juli 2008) erneut von strafprozessualer Haft betroffen gewesen. Diese müsse von Verfassung wegen "so kurz wie möglich" gehalten werden, was hier nicht gewährleistet sei. Vielmehr bestehe die "Gefahr, dass der bundesgerichtliche Entscheid wie auch der Berufungsentscheid des Obergerichtes" nicht mehr zu einer rechtzeitigen Haftentlassung führten. Es sei geboten, "die Frage der Haftentlassung im vorliegenden Verfahren so dringend wie möglich" zu behandeln. Die Vorinstanz habe im angefochtenen Entscheid zu wenig berücksichtigt, dass er, der Beschwerdeführer (nach Ablauf von zwei Dritteln einer allfälligen vollziehbaren Freiheitsstrafe) gute Aussichten auf bedingte Entlassung aus dem Strafvollzug habe. In der neueren Praxis des Bundesgerichtes werde betont, dass die bedingte Entlassung (nach Art. 86 Abs. 1 StGB ) die Regel und ihre Verweigerung die Ausnahme darstelle. Bereits im kantonalen Haftprüfungsverfahren habe er einen Bericht des Bezirksgefängnisses Unterkulm eingereicht, der ihm eine gute Führung während des mehr als einjährigen Haftvollzuges bescheinige. Auch aus dem psychiatrischen Gutachten der Psychiatrischen Dienste Aargau vom 18. Februar 2008 ergebe sich "insgesamt eine günstige Prognose".</w:t>
      </w:r>
    </w:p>
    <w:p>
      <w:r>
        <w:rPr>
          <w:b/>
        </w:rPr>
        <w:t>E. 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Nach der Rechtsprechung ist bei der Prüfung der zulässigen Haftdauer der Möglichkeit einer bedingten Entlassung aus dem Strafvollzug ( Art. 86 Abs. 1 StGB ) nur in Ausnahmefällen Rechnung zu tragen, wenn bereits vor dem Strafvollzug absehbar ist, dass eine bedingte Entlassung mit grosser Wahrscheinlichkeit erfolgen dürfte (vgl. Urteil des Bundesgerichtes 1P.493/2006 vom 5. September 2006, E. 6.1, und die dort zitierte einschlägige Praxis).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168 E. 4.1 S. 170, 270 E. 3.4.2 S. 282, je mit Hinweisen).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133 I 168 E. 4.1 S. 170 f., 270 E. 3.4.2 S. 281 ; 132 I 21 E. 4.1 S. 27 f., je mit Hinweisen).</w:t>
      </w:r>
    </w:p>
    <w:p>
      <w:r>
        <w:rPr>
          <w:b/>
        </w:rPr>
        <w:t>E. 4</w:t>
      </w:r>
    </w:p>
    <w:p>
      <w:r>
        <w:t>Wie sich aus den Akten ergibt, erfolgte am 15. Mai 2008 die erstinstanzliche Verurteilung des Beschwerdeführers zu 15 Monaten Freiheitsstrafe unbedingt. Zusätzlich wurden weitere drei Monate Freiheitsentzug (gestützt auf den Widerruf eines in einem früheren Urteil gewährten bedingten Strafvollzuges) für vollziehbar erklärt. Die kantonalen Behörden stellen sich nicht auf den Standpunkt, dem Beschwerdeführer drohe (im Rechtsmittelverfahren) eine längere freiheitsentziehende Sanktion. Insbesondere macht die Staatsanwaltschaft nicht geltend, sie werde gegen das erstinstanzliche Urteil Berufung einlegen. Wie sich aus den Strafakten ergibt, entsprechen sowohl das erstinstanzlich ausgefällte Strafmass als auch der Widerrufsentscheid den Anträgen der Staatsanwaltschaft gemäss Anklageschrift vom 10. März 2008. Der Beschwerdeführer wird nach eigener Darlegung Berufung erheben, was ein mögliches tieferes Strafmass (bzw. sogar einen allfälligen Freispruch) nicht ausschliesst. Laut dem angefochtenen Entscheid hatte der Beschwerdeführer für die am 15. Mai 2008 beurteilten Straftaten im Urteilszeitpunkt bereits ca. zehn Monate (298 Tage) strafprozessuale Haft absolviert. Auf den Widerruf (für 90 Tage Gefängnis bedingt) waren zusätzlich sechs Tage Untersuchungshaft anzurechnen. Seit dem Strafurteil sind weitere knapp vier Monate vergangen. Inzwischen hat der Beschwerdeführer insgesamt ca. 14 Monate anrechenbare strafprozessuale Haft erdauert. Damit ist die bisher vollzogene Untersuchungs- und Sicherheitshaft in erhebliche zeitliche Nähe des Freiheitsentzuges gerückt, der dem Beschwerdeführer im Falle einer rechtskräftigen Verurteilung droht. Es kann offen bleiben, ob eine verfassungswidrige Überhaft zusätzlich auch noch unter dem (vollzugsrechtlichen) Gesichtspunkt vorläge, dass der Beschwerdeführer (vor Ablauf von voraussichtlich 18 Monaten bzw. schon nach 12 Monaten) grundsätzlich mit einer bedingten Entlassung aus dem rechtskräftig angeordneten Strafvollzug rechnen könnte ( Art. 86 Abs. 1 StGB ; vgl. BGE 133 IV 201 E. 2.2 S. 203). Der Beschwerdeführer reichte schon bei der Vorinstanz (wie diese bestätigt) einen für ihn günstigen Führungsbericht des Bezirksgefängnisses Kulm vom 1. Juli 2008 ein. Im angefochtenen Entscheid wurde erwogen, "eine verfassungsrechtlich gebotene Prüfung, ob ausnahmsweise die Möglichkeit der bedingten Entlassung zu berücksichtigen ist", könne "einstweilen unterbleiben" (S. 9, E. 3.3.2). In einer Eventualerwägung ging die Vorinstanz dennoch beiläufig auf diese Frage ein. Das Obergericht erwog, es erscheine "keinesfalls sicher", dass der Beschwerdeführer in den Genuss einer bedingten Entlassung (im Sinne von Art. 86 Abs. 1 StGB ) komme (angefochtener Entscheid, S. 10). Die weitere Fortdauer der Sicherheitshaft hält bei Würdigung sämtlicher Umstände des vorliegenden Falles vor Art. 31 Abs. 3 BV nicht stand. Der Beschwerdeführer ist daher (zur Vermeidung von verfassungswidriger Überhaft) antragsgemäss aus der Haft zu entlassen.</w:t>
      </w:r>
    </w:p>
    <w:p>
      <w:r>
        <w:rPr>
          <w:b/>
        </w:rPr>
        <w:t>E. 5</w:t>
      </w:r>
    </w:p>
    <w:p>
      <w:r>
        <w:t>Nach dem Gesagten kann offen bleiben, ob hier ein gesetzlicher Haftgrund nach wie vor erfüllt wäre.</w:t>
      </w:r>
    </w:p>
    <w:p>
      <w:r>
        <w:rPr>
          <w:b/>
        </w:rPr>
        <w:t>E. 6</w:t>
      </w:r>
    </w:p>
    <w:p>
      <w:r>
        <w:t>Die Beschwerde ist gutzuheissen, der angefochtene Entscheid in der Hauptsache aufzuheben, und der Beschwerdeführer ist aus der Sicherheitshaft zu entlassen. Dass die Fortsetzung der Sicherheitshaft im hängigen Haftprüfungsverfahren die verfassungsrechtlichen Garantien von Art. 31 Abs. 3 BV tangieren würde, war bereits im Zeitpunkt des angefochtenen Entscheides absehbar. Dem anwaltlich vertretenen Beschwerdeführer ist für das Verfahren vor Bundesgericht eine angemessene Parteientschädigung zu entrichten ( Art. 68 Abs. 1-2 BGG ). Gerichtskosten sind nicht zu erheben ( Art. 66 Abs. 4 BGG ). Wird der angefochtene Entscheid geändert, kann das Bundesgericht die Kosten des vorangegangen Verfahrens anders verteilen ( Art. 67 OG ). In der vorliegenden Konstellation rechtfertigt es sich, den Beschwerdeführer von den obergerichtlichen Verfahrenskosten zu entbinden (was zur Aufhebung von Ziff. 2 des Dispositives des angefochtenen Entscheides führt). Die vorinstanzliche Parteientschädigung an den amtlichen Verteidiger ist nicht streitig (weshalb Ziff. 3 des Dispositives zu bestätigen ist, vgl.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