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1B_233/2022 vom 4. Oktober 2022</w:t>
      </w:r>
    </w:p>
    <w:p>
      <w:r>
        <w:t>Bundesgericht, 2022-10-04, FR</w:t>
      </w:r>
    </w:p>
    <w:p>
      <w:r>
        <w:rPr>
          <w:b/>
        </w:rPr>
        <w:t xml:space="preserve">Quelle: </w:t>
      </w:r>
      <w:r>
        <w:t>https://mcp.opencaselaw.ch/entscheid/bger_1B_233_2022</w:t>
      </w:r>
    </w:p>
    <w:p>
      <w:r>
        <w:t>FR: TF 1B_233/2022 du 4 octobre 2022</w:t>
      </w:r>
    </w:p>
    <w:p>
      <w:r>
        <w:t>IT: TF 1B_233/2022 del 4 ottobre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 p. 91).</w:t>
      </w:r>
    </w:p>
    <w:p>
      <w:r>
        <w:rPr>
          <w:b/>
        </w:rPr>
        <w:t>E. 1.1</w:t>
      </w:r>
    </w:p>
    <w:p>
      <w:r>
        <w:t>Le recours en matière pénale au Tribunal fédéral est dirigé en l'espèce contre une décision d'irrecevabilité prise par une autorité cantonale statuant en tant que dernière instance (cf. art. 80 LTF ). Dans une telle configuration et malgré la nature incidente du prononcé attaqué, le recours auprès du Tribunal fédéral est en principe recevable indépendamment de l'exigence d'un préjudice irréparable au sens de l' art. 93 al. 1 let. a LTF ( ATF 143 I 344 consid. 1.2 p. 346; arrêt 1B_52/2022 du 19 mai 2022 consid. 1.2). Seule peut cependant être portée devant le Tribunal fédéral la question de la recevabilité du recours cantonal (arrêt 1B_682/2021 du 30 juin 2022 consid. 1.2), à l'exclusion des conclusions et arguments portant sur le fond (cf. notamment certains des griefs soulevés en lien avec les art. 314, 29 et 30 CPP ).</w:t>
      </w:r>
    </w:p>
    <w:p>
      <w:r>
        <w:rPr>
          <w:b/>
        </w:rPr>
        <w:t>E. 1.2</w:t>
      </w:r>
    </w:p>
    <w:p>
      <w:r>
        <w:t>Pour le surplus et dans les limites précitées, les autres conditions de recevabilité étant réunies, il y a lieu d'entrer en matière.</w:t>
      </w:r>
    </w:p>
    <w:p>
      <w:r>
        <w:rPr>
          <w:b/>
        </w:rPr>
        <w:t>E. 2</w:t>
      </w:r>
    </w:p>
    <w:p>
      <w:r>
        <w:t>Invoquant les art. 6 par. 1 CEDH , 29a Cst. et 382 al. 1 CPP, le recourant reproche à l'autorité précédente d'avoir considéré que son recours cantonal n'était pas recevable, faute d'intérêt juridiquement protégé. Il se plaint également d'un établissement arbitraire des faits. A cet égard, il soutient que la cour cantonale n'aurait pas repris les termes exacts utilisés par le Ministère public dans son ordonnance, lesquels démontreraient la violation de la présomption d'innocence par la décision de suspension, respectivement de disjonction implicite, rendue; l'autorité précédente n'aurait pas non plus fait état, dans sa partie en fait, du classement de la procédure envisagé s'agissant de C.________ par le Ministère public en décembre 2021. Selon le recourant, sa mise en cause serait en outre fondée sur les déclarations de l'autre prévenu et, dès lors, il existerait un risque de jugement contradictoire.</w:t>
      </w:r>
    </w:p>
    <w:p>
      <w:r>
        <w:rPr>
          <w:b/>
        </w:rPr>
        <w:t>E. 2.1</w:t>
      </w:r>
    </w:p>
    <w:p>
      <w:r>
        <w:t>La qualité pour recourir est définie à l' art. 382 al. 1 CPP . Selon cette disposition, elle est reconnue à toute partie qui a un intérêt juridiquement protégé à l'annulation ou à la modification d'une décision.</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p. 163). Une partie qui n'est pas concrètement lésée par la décision ne possède donc pas la qualité pour recourir et son recours est irrecevable ( ATF 144 IV 81 consid. 2.3.1 p. 85).</w:t>
      </w:r>
    </w:p>
    <w:p>
      <w:r>
        <w:t>Par ailleurs, le recourant doit avoir un intérêt actuel et pratique au recours ( ATF 144 IV 81 consid. 2.3.1 p. 84 s.), respectivement à l'examen des griefs soulevés (arrêt 1B_550/2021 du 13 janvier 2022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p. 338 s.; 142 I 135 consid. 1.3.1 p. 143; arrêt 1B_550/2021 du 13 janvier 2022 consid. 3.2).</w:t>
      </w:r>
    </w:p>
    <w:p>
      <w:r>
        <w:rPr>
          <w:b/>
        </w:rPr>
        <w:t>E. 2.2</w:t>
      </w:r>
    </w:p>
    <w:p>
      <w:r>
        <w:t>En l'occurrence, le recourant ne développe aucune argumentation claire afin de démontrer quelle (s) serai (en) t l'/les atteinte (s) subie (s) à ses droits à la suite de l'ordonnance du 14 janvier 2022 suspendant formellement la procédure ouverte contre C.________ jusqu'à un jugement définitif et exécutoire le concernant. En particulier, le recourant ne soutient pas qu'en cas d'admission de son recours, la cour cantonale aurait pu ordonner au Ministère public de renvoyer C.________ en jugement alors qu'un classement à son égard avait été envisagé (cf. consid. 2.2.2 p. 4 s. de l'arrêt attaqué); c'est d'ailleurs le lieu de relever que la mention d'un tel prononcé dans les considérants en droit de l'arrêt attaqué suffit pour retenir que l'autorité précédente ne l'a pas ignoré au moment de son raisonnement. Le recourant ne prétend pas non plus qu'une éventuelle annulation ou modification de l'ordonnance entreprise permettrait de remettre en cause l'acte d'accusation le concernant (cf. art. 324 al. 2 CPP ) et/ou la saisine du TPE qui en a découlé. A ce stade de la procédure, on peine dès lors à comprendre quel serait l'intérêt actuel et pratique du recourant à obtenir la modification ou l'annulation de la décision attaquée.</w:t>
      </w:r>
    </w:p>
    <w:p>
      <w:r>
        <w:t>A cela s'ajoute que, s'agissant de ses droits de procédure, le recourant ne conteste pas que l'instruction a été menée conjointement et que ses droits en matière d'administration des preuves ont dès lors été assurés jusqu'à la décision litigieuse. Devant le TPE, il dispose en outre de la qualité de partie et de l'ensemble des droits qui en découle, dont celui de requérir, le cas échéant, l'audition de C.________ en qualité de personne appelée à donner des renseignements. Dès lors que la cause concernant cet autre prévenu est - formellement - suspendue, aucun acte d'instruction ne sera entrepris, le recourant n'étant ainsi pas limité dans ses droits d'y participer. Dans la mesure en outre où le Ministère public n'a, à ce stade, pas rendu de décision formelle de disjonction, il ne saurait par conséquent nier la qualité de partie au recourant en cas de renvoi en instruction par le TPE.</w:t>
      </w:r>
    </w:p>
    <w:p>
      <w:r>
        <w:t>Le procédé choisi ne viole pas non plus pour le recourant le principe de présomption d'innocence. En effet, les termes utilisés dans l'ordonnance du Ministère public à l'origine de la présente cause n'excluent pas que le TPE puisse avoir une appréciation différente de la qualification d'auteur médiat pour laquelle le recourant est renvoyé (cf. le recourant " semble avoir agi comme auteur médiat" [mise en évidence ajoutée lors de la rédaction] et "demeure présumé innocent jusqu'à jugement définitif et exécutoire" [p. 3]), à savoir qu'il aurait utilisé C.________ comme un simple instrument dénué de volonté délictuelle. C'est d'ailleurs devant le TPE que le recourant pourra contester les faits retenus et/ou cette qualification d'auteur médiat, en particulier eu égard à ses fondements (soit, à suivre le recourant, les seules déclarations de C.________ et/ou, selon notamment le Ministère public, en raison d'un courrier électronique adressé à C.________ faisant état d'un ordre de virement de sa part en faveur d'un tiers [cf. classeur n° 3 pièce 3088; voir les déterminations du Ministère public du 25 mai 2022 et la pièce 1 produite devant le Tribunal fédéral par la partie plaignante le 11 juillet 2022]); toute hypothèse d'acquittement et/ou de renvoi en instruction par le TPE ne peut ainsi être d'emblée écartée. La manière de procéder semble également en l'occurrence propre à prévenir des jugements contradictoires, contrairement à ce qui aurait pu arriver si une ordonnance de classement avait d'ores et déjà été rendue s'agissant de C.________ (cf. ATF 147 I 386 ).</w:t>
      </w:r>
    </w:p>
    <w:p>
      <w:r>
        <w:t>En tout état de cause, la qualité pour recourir du recourant contre le prononcé du 14 janvier 2022 - que celui-ci soit de suspension ou de disjonction implicite - ne saurait se fonder sur la défense des intérêts de C.________. En particulier, le recourant ne peut pas se prévaloir du droit de l'autre prévenu de participer à l'administration des preuves qui pourraient être effectuées devant le TPE, de l'absence de décision de clôture concernant C.________ et/ou d'une éventuelle violation du principe de célérité qui en résulterait à l'égard de ce dernier.</w:t>
      </w:r>
    </w:p>
    <w:p>
      <w:r>
        <w:t>Par conséquent, la Chambre pénale n'a pas violé le droit fédéral en considérant que le recourant ne disposait d'aucun intérêt juridique à obtenir l'annulation ou la modification de l'ordonnance du 14 janvier 2022 du Ministère public.</w:t>
      </w:r>
    </w:p>
    <w:p>
      <w:r>
        <w:rPr>
          <w:b/>
        </w:rPr>
        <w:t>E. 3</w:t>
      </w:r>
    </w:p>
    <w:p>
      <w:r>
        <w:t>Il s'ensuit que le recours est rejeté dans la mesure où il est recevable.</w:t>
      </w:r>
    </w:p>
    <w:p>
      <w:r>
        <w:t>Le recourant, qui succombe, supporte les frais judiciaires ( art. 66 al. 1 LTF ). Les intimés B.________ et C.________, qui obtiennent gain de cause assistés par des mandataires professionnels, ont chacun droit à une indemnité de dépens à la charge du recourant (cf. art. 68 al. 1 LTF ); vu les conclusions prises par l'intimé B.________, ce montant sera fixé à 1'000 fr. (TVA comprise); quant à celui alloué à C.________, il sera réduit dès lors qu'il s'en est remis à justice s'agissant de l'effet suspensif et qu'il a produit de très brèves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