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1B_233/2012 vom 21. August 2012</w:t>
      </w:r>
    </w:p>
    <w:p>
      <w:r>
        <w:t>Bundesgericht, 2012-08-21, DE</w:t>
      </w:r>
    </w:p>
    <w:p>
      <w:r>
        <w:rPr>
          <w:b/>
        </w:rPr>
        <w:t xml:space="preserve">Quelle: </w:t>
      </w:r>
      <w:r>
        <w:t>https://mcp.opencaselaw.ch/entscheid/bger_1B_233_2012</w:t>
      </w:r>
    </w:p>
    <w:p>
      <w:r>
        <w:t>FR: TF 1B_233/2012 du 21 août 2012</w:t>
      </w:r>
    </w:p>
    <w:p>
      <w:r>
        <w:t>IT: TF 1B_233/2012 del 21 agosto 2012</w:t>
      </w:r>
    </w:p>
    <w:p>
      <w:pPr>
        <w:pStyle w:val="Heading2"/>
      </w:pPr>
      <w:r>
        <w:t>Erwägungen</w:t>
      </w:r>
    </w:p>
    <w:p>
      <w:r>
        <w:rPr>
          <w:b/>
        </w:rPr>
        <w:t>E. 1</w:t>
      </w:r>
    </w:p>
    <w:p>
      <w:r>
        <w:t>Die Beschwerden betreffen die gleiche Streitfrage und sind zu vereinigen.</w:t>
      </w:r>
    </w:p>
    <w:p>
      <w:r>
        <w:rPr>
          <w:b/>
        </w:rPr>
        <w:t>E. 2</w:t>
      </w:r>
    </w:p>
    <w:p>
      <w:r>
        <w:t>Angefochten sind zwei kantonal letztinstanzliche Haftentscheide des Appellationsgerichtspräsidenten. Es handelt sich um Entscheide einer letzten kantonalen Instanz in Strafsachen, gegen die die Beschwerde in Strafsachen zulässig ist ( Art. 78 Abs. 1, Art. 80 Abs. 1 BGG ). Sie schliessen das Strafverfahren gegen den Beschwerdeführer nicht ab, sind mithin Zwischenentscheide. Als solche sind sie nach Art. 93 Abs. 1 BGG nur anfechtbar, wenn sie einen nicht wieder gutzumachenden Nachteil rechtlicher Natur ( BGE 133 IV 139 E. 4) bewirken könnten (lit. a), oder wenn die Gutheissung der Beschwerden sofort Endentscheide herbeiführen und damit einen bedeutenden Aufwand an Zeit oder Kosten für ein weitläufiges Beweisverfahren ersparen würde (lit. b).</w:t>
      </w:r>
    </w:p>
    <w:p>
      <w:r>
        <w:t>Letzteres fällt vorliegend nicht in Betracht. Da in der Fortsetzung von Untersuchungshaft ein nicht wieder gutzumachender Nachteil liegt, sind Haftentscheide unter dem Titel von Art. 93 Abs. 1 lit. a BGG in der Sache stets anfechtbar. Die (ungerechtfertigte) Verurteilung zu Gerichtskosten dagegen kann im Zusammenhang mit dem Entscheid in der Hauptsache angefochten werden, ohne dass dem Beschwerdeführer daraus ein irreversibler Nachteil entsteht, zumal die Forderungen nach der Darstellung des Appellationsgerichtspräsidenten während der Dauer der Haft ohnehin nach Art. 425 StPO gestundet werden können. Die blosse Verzögerung oder Verteuerung des Verfahrens genügt generell nicht, um einen sofortigen Entscheid des Bundesgerichts zu erwirken ( BGE 136 II 165 E 1.2.1 S. 170). Dieses soll sich nach Möglichkeit nur einmal mit einer Sache befassen müssen. Wird wie hier allein die Kostenregelung von Haftentscheiden angefochten, ist auf die Beschwerden nicht einzutreten, weil sie keinen nicht wieder gutzumachenden Nachteil rechtlicher Natur bewirken können.</w:t>
      </w:r>
    </w:p>
    <w:p>
      <w:r>
        <w:rPr>
          <w:b/>
        </w:rPr>
        <w:t>E. 3</w:t>
      </w:r>
    </w:p>
    <w:p>
      <w:r>
        <w:t>Auf die Beschwerden ist nicht einzutreten. Bei diesem Ausgang der Verfahren wird der Beschwerdeführer an sich kostenpflichtig ( Art. 66 Abs. 1 BGG ). Er hat indessen Gesuche um unentgeltliche Rechtspflege und Verbeiständung gestellt, welche gutzuheissen sind, da die Bedürftigkeit des Beschwerdeführers ausgewiesen scheint und die Beschwerden nicht von vornherein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