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1B_233/2010 vom 4. August 2010</w:t>
      </w:r>
    </w:p>
    <w:p>
      <w:r>
        <w:t>Bundesgericht, 2010-08-04, FR</w:t>
      </w:r>
    </w:p>
    <w:p>
      <w:r>
        <w:rPr>
          <w:b/>
        </w:rPr>
        <w:t xml:space="preserve">Quelle: </w:t>
      </w:r>
      <w:r>
        <w:t>https://mcp.opencaselaw.ch/entscheid/bger_1B_233_2010</w:t>
      </w:r>
    </w:p>
    <w:p>
      <w:r>
        <w:t>FR: TF 1B_233/2010 du 4 août 2010</w:t>
      </w:r>
    </w:p>
    <w:p>
      <w:r>
        <w:t>IT: TF 1B_233/2010 del 4 agosto 2010</w:t>
      </w:r>
    </w:p>
    <w:p>
      <w:pPr>
        <w:pStyle w:val="Heading2"/>
      </w:pPr>
      <w:r>
        <w:t>Erwägungen</w:t>
      </w:r>
    </w:p>
    <w:p>
      <w:r>
        <w:rPr>
          <w:b/>
        </w:rPr>
        <w:t>E. 1</w:t>
      </w:r>
    </w:p>
    <w:p>
      <w:r>
        <w:t>Le recours en matière pénale ( art. 78 al. 1 LTF ) est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(cf.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Le recourant relève d'abord un certain nombre d'éléments qui ressortiraient du dossier et qui n'auraient pas été retenus dans l'ordonnance attaquée. Il soutient que ces faits seraient des indices concrets de son absence de culpabilité. A cet égard, il se plaint d'une constatation arbitraire des faits (97 LTF) et d'une violation de sa liberté personnelle ( art. 5 ch. a let . c CEDH).</w:t>
      </w:r>
    </w:p>
    <w:p>
      <w:r>
        <w:rPr>
          <w:b/>
        </w:rPr>
        <w:t>E. 3.1</w:t>
      </w:r>
    </w:p>
    <w:p>
      <w:r>
        <w:t>En principe, le Tribunal fédéral statue sur la base des faits établis par l'autorité précédente ( art. 105 al. 1 LTF ). Toutefois, 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 l' art. 42 al. 2 LTF , respectivement de l' art. 106 al. 2 LTF ( ATF 133 II 249 consid. 1.4.3 p. 254 s.).</w:t>
      </w:r>
    </w:p>
    <w:p>
      <w:r>
        <w:t>Selon la jurisprudence, l'arbitraire, prohibé par l' art. 9 Cst. , ne résulte pas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265 s. et les arrêts cités). Il appartient au recourant de démontrer l'arbitraire de la décision attaquée, conformément aux exigences de motivation déduites de l' art. 106 al. 2 LTF ( ATF 134 I 263 consid. 3.1 p. 265; 133 I 149 consid. 3.1 p. 153 et les références).</w:t>
      </w:r>
    </w:p>
    <w:p>
      <w:r>
        <w:rPr>
          <w:b/>
        </w:rPr>
        <w:t>E. 3.2</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t>Appelé à se prononcer sur la constitutionnalité d'une décision de maintien en détention, le Tribunal fédéral n'a pas à procéder à une pesée complète des éléments à charge et à décharge, ni à apprécier la crédibilité des éléments de preuve mettant en cause le condamné. Il doit uniquement examiner s'il existe des indices sérieux de culpabilité justifiant une telle mesure, c'est-à-dire des raisons plausibles de soupçonner l'accusé d'avoir commis une infraction ( ATF 116 Ia 143 consid. 3c p. 146; art. 34 in initio CPP/GE).</w:t>
      </w:r>
    </w:p>
    <w:p>
      <w:r>
        <w:rPr>
          <w:b/>
        </w:rPr>
        <w:t>E. 3.3</w:t>
      </w:r>
    </w:p>
    <w:p>
      <w:r>
        <w:t>En l'espèce, le recourant soulève d'abord des constatations de fait qui ne sont pas susceptibles d'avoir une influence déterminante sur l'issue de la procédure. Il en va ainsi du fait que C.________, amie de la victime, aurait déclaré à la police avoir appris la participation du prévenu à l'agression par l'intermédiaire de B.________, alors que devant le Juge d'instruction, elle aurait précisé le tenir de D.________. Tel est également le cas du fait que la tentative de A.________ d'appeler la prénommée n'aurait duré que 5 secondes et que celle-ci l'aurait rappelé et lui aurait parlé pendant 52 secondes, selon l'analyse des rétroactifs téléphoniques. De même, le reproche du recourant quant au fait que l'ordonnance attaquée aurait dû se contenter de retenir que le nerf sciatique de la jambe de la victime avait été sectionné, sans mentionner que celle-ci avait perdu l'usage d'une jambe, est vain. Vu le raisonnement qui suit, un éventuel complément de l'état de fait litigieux ne permettrait pas de trancher différemment la question de la mise en liberté du recourant.</w:t>
      </w:r>
    </w:p>
    <w:p>
      <w:r>
        <w:rPr>
          <w:b/>
        </w:rPr>
        <w:t>E. 3.4</w:t>
      </w:r>
    </w:p>
    <w:p>
      <w:r>
        <w:t>Le recourant soutient ensuite que l'instruction n'aurait pas permis d'étayer le soupçon qu'il se soit trouvé sur place au lieu de l'agression comme le prétendent la victime et son ami D.________. Les quatre co-inculpés du recourant E.________, F.________ et G.________ auraient déclaré de façon concordante que l'intéressé ne se trouvait pas sur les lieux de l'agression. F.________ et E.________, qui se trouvaient au domicile du recourant une heure avant l'agression, auraient nié que A.________ leur aurait demandé d'agresser la victime. C.________, dont les déclarations auraient varié au cours de l'instruction, n'aurait d'ailleurs pas confirmé au Juge d'instruction avoir vu A.________ donner un coup de couteau. Il ressortirait aussi de l'analyse des rétroactifs téléphoniques que deux co-inculpés auraient appelé le recourant dans les minutes précédant l'agression sur son téléphone portable, lequel se trouvait à ce moment-là à son domicile à plus d'un kilomètre du lieu de l'agression. Enfin, les charges ne seraient pas non plus suffisamment précises et concrètes pour conclure à la vraisemblance de la culpabilité du recourant en tant que complice ou instigateur.</w:t>
      </w:r>
    </w:p>
    <w:p>
      <w:r>
        <w:t>Partant, le recourant perd de vue qu'il n'appartient pas au juge de la détention provisoire d'examiner en détail ces considérations de fait, pas plus que d'apprécier la crédibilité des témoignages; il lui incombe uniquement de vérifier, sous l'angle de la vraisemblance, que le maintien en détention avant jugement repose sur des indices de culpabilité suffisants. Or, les déclarations de la victime et de C.________ - selon lesquelles le prévenu aurait participé à l'agression - constituent des indices parmi d'autres et elles peuvent être prises en compte dans la mesure où elles n'apparaissent pas d'emblée invraisemblables, compte tenu notamment des antécédents du recourant. Ce d'autant plus que l'intéressé se voit reprocher un délit de violence grave, soit des lésions corporelles graves perpétrées en groupe et avec des couteaux. C'est donc en vain qu'il discute minutieusement le déroulement des faits, car c'est au juge du fond qu'il appartiendra d'apprécier les éléments à charge et à décharge et de déterminer dans quelle mesure le recourant est impliqué dans les actes qui ont fait l'objet de l'instruction. En l'état, on peut donc admettre, à l'instar de la Chambre d'accusation, que même si la présence du prévenu sur les lieux de l'agression n'était pas retenue, il existe des charges suffisantes à son encontre pour justifier un maintien en détention.</w:t>
      </w:r>
    </w:p>
    <w:p>
      <w:r>
        <w:rPr>
          <w:b/>
        </w:rPr>
        <w:t>E. 4</w:t>
      </w:r>
    </w:p>
    <w:p>
      <w:r>
        <w:t>Le recourant conteste également l'existence d'un risque de récidive retenu par le Tribunal cantonal pour motiver son maintien en détention.</w:t>
      </w:r>
    </w:p>
    <w:p>
      <w:r>
        <w:rPr>
          <w:b/>
        </w:rPr>
        <w:t>E. 4.1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4.2</w:t>
      </w:r>
    </w:p>
    <w:p>
      <w:r>
        <w:t>En l'occurrence, les actes reprochés au recourant apparaissent d'une violence grave, de nombreux coups ayant été portés en groupe et à l'aide de couteaux. Il ressort en outre du rapport établi par le Centre romand de médecine légale des Hôpitaux universitaires de Genève (HUG) que la victime a été grièvement blessée et qu'elle souffre d'un traumatisme crânien, d'une plaie thoracique gauche, d'une plaie lombaire ainsi que de plusieurs plaies de la région fessière gauche avec perte motrice et sensitive sur le territoire du nerf sciatique. De plus, en décembre 2008, l'intéressé avait déjà fait l'objet d'une condamnation pour lésions corporelles simples et infraction à la LStup, à une peine de 18 mois de privation de liberté avec sursis, le délai d'épreuve étant fixé à 5 ans. Il a donc non seulement récidivé durant le délai d'épreuve, mais a commis une infraction de même nature, plus grave. S'ajoute à cela le fait que certains des participants ne semblaient même pas connaître la victime et encore moins les motifs à l'origine de ces actes de violence. Par conséquent, en l'état, le risque de récidive apparaît suffisamment plausible pour justifier le maintien en détention.</w:t>
      </w:r>
    </w:p>
    <w:p>
      <w:r>
        <w:rPr>
          <w:b/>
        </w:rPr>
        <w:t>E. 4.3</w:t>
      </w:r>
    </w:p>
    <w:p>
      <w:r>
        <w:t>L'affirmation d'un risque de récidive dispense d'examiner le risque de fuite, lequel n'a d'ailleurs pas été mentionné par la Chambre d'accusation dans l'ordonnance attaquée.</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Jean-Pierre Garbade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