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1B_232/2014 vom 14. Juli 2014</w:t>
      </w:r>
    </w:p>
    <w:p>
      <w:r>
        <w:t>Bundesgericht, 2014-07-14, FR</w:t>
      </w:r>
    </w:p>
    <w:p>
      <w:r>
        <w:rPr>
          <w:b/>
        </w:rPr>
        <w:t xml:space="preserve">Quelle: </w:t>
      </w:r>
      <w:r>
        <w:t>https://mcp.opencaselaw.ch/entscheid/bger_1B_232_2014</w:t>
      </w:r>
    </w:p>
    <w:p>
      <w:r>
        <w:t>FR: TF 1B_232/2014 du 14 juillet 2014</w:t>
      </w:r>
    </w:p>
    <w:p>
      <w:r>
        <w:t>IT: TF 1B_232/2014 del 14 luglio 2014</w:t>
      </w:r>
    </w:p>
    <w:p>
      <w:pPr>
        <w:pStyle w:val="Heading2"/>
      </w:pPr>
      <w:r>
        <w:t>Erwägungen</w:t>
      </w:r>
    </w:p>
    <w:p>
      <w:r>
        <w:rPr>
          <w:b/>
        </w:rPr>
        <w:t>E. 1</w:t>
      </w:r>
    </w:p>
    <w:p>
      <w:r>
        <w:t>Le recours en matière pénale ( art. 78 al. 1 LTF ) est ouvert contre une décision relative à la détention provisoire au sens des art. 212 ss CPP ( ATF 137 IV 22 consid. 1 p. 23). Selon l'art. 81 al. 1 let. a et b ch. 1 LTF, le prévenu, actuellement détenu,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un risque de fuite ou un danger de collusion ou de réitération (art. 221 al. 1 let. a, b et c CPP).</w:t>
      </w:r>
    </w:p>
    <w:p>
      <w:r>
        <w:t>Préalablement à l'examen de ces hypothèses, il doit exister à l'égard de l'intéressé des charges suffisantes, soit de sérieux soupçons de culpabilité ( art. 221 al. 1 CPP ), condition qui n'est pas remise en cause en l'espèce.</w:t>
      </w:r>
    </w:p>
    <w:p>
      <w:r>
        <w:rPr>
          <w:b/>
        </w:rPr>
        <w:t>E. 3</w:t>
      </w:r>
    </w:p>
    <w:p>
      <w:r>
        <w:t>Le recourant conteste en revanche l'existence d'un risque de récidive. Il soutient à cet égard que l'engagement d'un chauffeur démontrerait son absence de volonté de conduire, ne l'ayant d'ailleurs fait que dans des circonstances exceptionnelles en 2014. Il affirme également que son incarcération aurait eu l'effet d'un électrochoc au vu des conséquences en découlant sur sa vie privée et professionnelle. Son maintien en détention ne se justifierait pas non plus par l'attente du rapport d'expertise psychiatrique, cela d'autant plus qu'il s'engagerait notamment à ne définitivement plus rouler, à se soumettre à des contrôles spontanés de l'alcoolémie, à suivre une thérapie et à remettre les clés de ses véhicules aux autorités.</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et les arrêts cités).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123 I 268 consid. 2e p. 271).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in SJ 2011 I p. 487).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En l'occurrence, contrairement à ce que semble soutenir le recourant, le pronostic défavorable retenu par l'autorité précédente ne se fonde pas seulement sur les trois infractions réalisées en 2014.</w:t>
      </w:r>
    </w:p>
    <w:p>
      <w:r>
        <w:t>La cour cantonale a ainsi à juste titre pris en considération le casier judiciaire du prévenu, comportant notamment sept condamnations pour conduite malgré l'interdiction de faire usage de son permis entre le 8 octobre 2010 et le 8 avril 2013. Il est d'ailleurs relevé que les peines pécuniaires prononcées ont toutes dû être exécutées par le recourant sans que cela ne l'ait amené à modifier son comportement. Il est ensuite poursuivi ce jour pour des infractions similaires réalisées en juin, juillet, août, septembre, octobre, novembre 2013, janvier, mars et mai 2014 (cf. la requête de mise en détention du Procureur). L'avertissement d'une possible détention en cas de récidive (cf. l'audience du 23 décembre 2013, puis le courrier du Ministère public à son avocat le 19 février 2014 adressé à la suite de l'interpellation du 25 janvier 2014) et les inévitables conséquences pouvant en découler ne l'ont pas non plus empêché de commettre de nouvelles infractions par la suite. Les juges précédents ont enfin considéré avec raison qu'aucune circonstance exceptionnelle ne pouvait expliquer les trois cas de conduite sans permis en 2014. Cela vaut en particulier s'agissant de la conduite effectuée dans le cadre professionnel, puisque le recourant soutient avoir engagé un tiers à cet effet.</w:t>
      </w:r>
    </w:p>
    <w:p>
      <w:r>
        <w:t>Si le recourant allègue n'avoir plus réalisé d'excès de vitesse ou conduit en état d'ébriété, il n'en demeure pas moins que tel a été le cas et ce type de comportement peut être propre à mettre en péril la sécurité des autres usagers de la route, élément qui ne peut être ignoré. Dès lors, au regard des considérations précédentes et de la persistance du prévenu à commettre des infractions à la LCR - notamment en conduisant sans permis malgré ses sept condamnations pénales et les procédures d'instruction en cours -, la cour cantonale pouvait, sans violer le droit fédéral, retenir l'existence d'un risque de récidive.</w:t>
      </w:r>
    </w:p>
    <w:p>
      <w:r>
        <w:rPr>
          <w:b/>
        </w:rPr>
        <w:t>E. 3.3</w:t>
      </w:r>
    </w:p>
    <w:p>
      <w:r>
        <w:t>Conformément au principe de proportionnalité ( art. 36 al. 3 Cst. ), il convient encore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w:t>
      </w:r>
    </w:p>
    <w:p>
      <w:r>
        <w:t>Il apparaît que les mesures de substitution proposées par le recourant ne permettent pas en l'état d'assurer de manière suffisante la sécurité publique, notamment routière. En particulier, tant la remise des clés de ses véhicules, l'engagement personnel de ne pas conduire - qui par ailleurs ne repose que sur la volonté du recourant - que les contrôles inopinés de l'alcool ne donnent aucune garantie que celui-ci ne prendrait pas le volant d'une automobile; cela vaut d'autant plus que le comportement du prévenu n'a pas évolué à la suite des décisions de justice rendues à son encontre pour des faits similaires. Quant à l'engagement allégué d'un chauffeur dès novembre 2013 pour ses déplacements professionnels (cf. le procès-verbal de l'audition du 19 novembre 2013), cette mesure n'a pas non plus suffit à le dissuader de se mettre au volant ultérieurement. A ce jour, la détention subie ne viole pas le principe de proportionnalité ( art. 36 al. 3 Cst. ) au vu de la peine privative de liberté ferme envisageable supérieure à trois mois, ainsi que de la durée de la détention provisoire subie (trois mois jusqu'au 8 août 2014).</w:t>
      </w:r>
    </w:p>
    <w:p>
      <w:r>
        <w:t>Au regard du mandat donné le 12 mai 2014 pour l'établissement d'un rapport d'expertise psychiatrique, il sied également de rappeler que, dans certaines circonstances, il n'est pas contraire à la jurisprudence d'attendre l'avis de l'expert (arrêts 1B_49/2014 du 19 février 2014 consid. 5.2; 1B_305/2013 du 26 septembre 2013 consid. 3.2; 1B_41/2013 du 27 février 2013 consid. 3.2; 1B_705/2012 du 10 décembre 2012 consid. 2.9 à 2.11). Il n'est d'ailleurs pas non plus exclu, notamment dans le cadre de l'examen d'une éventuelle prolongation de la détention, que l'expert puisse être interpellé sur la question du danger de réitération, pouvant ainsi, cas échéant, indiquer si d'éventuelles mesures d'ordre médical permettraient de pallier, respectivement de réduire, ce risque. L'autorité ne manquera d'ailleurs pas si elle envisage de prolonger la détention d'examiner de manière approfondie les conditions de celle-ci, notamment par rapport aux circonstances d'espèce, aux chefs d'infraction reprochés et au respect du principe de proportionnalité.</w:t>
      </w:r>
    </w:p>
    <w:p>
      <w:r>
        <w:rPr>
          <w:b/>
        </w:rPr>
        <w:t>E. 3.4</w:t>
      </w:r>
    </w:p>
    <w:p>
      <w:r>
        <w:t>Par conséquent, c'est à juste titre que la Chambre des recours pénale a confirmé l'ordonnance du 10 mai 2014 du Tmc plaçant le recourant en détention jusqu'au 8 août 2014.</w:t>
      </w:r>
    </w:p>
    <w:p>
      <w:r>
        <w:rPr>
          <w:b/>
        </w:rPr>
        <w:t>E. 4</w:t>
      </w:r>
    </w:p>
    <w:p>
      <w:r>
        <w:t>Il s'ensuit que le recours doit être rejeté.</w:t>
      </w:r>
    </w:p>
    <w:p>
      <w:r>
        <w:t>Le recourant a demandé l'assistance judiciaire et les conditions en paraissent réunies ( art. 64 al. 1 LTF ). Il y a lieu de désigner Me John-David Burdet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