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1B_231/2011 vom 23. Juni 2011</w:t>
      </w:r>
    </w:p>
    <w:p>
      <w:r>
        <w:t>Bundesgericht, 2011-06-23, FR</w:t>
      </w:r>
    </w:p>
    <w:p>
      <w:r>
        <w:rPr>
          <w:b/>
        </w:rPr>
        <w:t xml:space="preserve">Quelle: </w:t>
      </w:r>
      <w:r>
        <w:t>https://mcp.opencaselaw.ch/entscheid/bger_1B_231_2011</w:t>
      </w:r>
    </w:p>
    <w:p>
      <w:r>
        <w:t>FR: TF 1B_231/2011 du 23 juin 2011</w:t>
      </w:r>
    </w:p>
    <w:p>
      <w:r>
        <w:t>IT: TF 1B_231/2011 del 23 giugno 2011</w:t>
      </w:r>
    </w:p>
    <w:p>
      <w:pPr>
        <w:pStyle w:val="Heading2"/>
      </w:pPr>
      <w:r>
        <w:t>Erwägungen</w:t>
      </w:r>
    </w:p>
    <w:p>
      <w:r>
        <w:rPr>
          <w:b/>
        </w:rPr>
        <w:t>E. 1</w:t>
      </w:r>
    </w:p>
    <w:p>
      <w:r>
        <w:t>Conformément aux art. 78 et 92 al. 1 LTF , une décision relative à la récusation d'un magistrat dans la procédure pénale peut faire immédiatement l'objet d'un recours en matière pénale.</w:t>
      </w:r>
    </w:p>
    <w:p>
      <w:r>
        <w:t>Les auteurs de la demande de récusation ont évidemment qualité pour recourir ( art. 81 al. 1 LTF ). Ils ont agi dans le délai de trente jours prescrit à l' art. 100 al. 1 LTF . La décision attaquée est rendue en dernière instance cantonale, au sens de l' art. 80 LTF . Les conclusions tendant à l'annulation de la décision attaquée et à l'admission de la demande de récusation, voire au renvoi de la cause à la cour cantonale, sont recevables.</w:t>
      </w:r>
    </w:p>
    <w:p>
      <w:r>
        <w:rPr>
          <w:b/>
        </w:rPr>
        <w:t>E. 2</w:t>
      </w:r>
    </w:p>
    <w:p>
      <w:r>
        <w:t>Les recourants contestent en premier lieu l'irrecevabilité de leur demande de récusation. Contrairement à ce qu'ils soutiennent, l'arrêt attaqué est clair sur ce point. La Chambre pénale de recours a considéré que la demande était tardive et dès lors irrecevable, ajoutant que, supposée recevable, elle devrait être rejetée. Le dispositif de l'arrêt attaqué "rejette la demande dans la mesure où elle est recevable", ce qui fait également ressortir cette double motivation. Il n'y a pas lieu, cela étant, de s'attarder sur la question de la tardiveté de la demande de récusation. En effet, un examen au fond fait apparaître cette dernière comme manifestement mal fondée.</w:t>
      </w:r>
    </w:p>
    <w:p>
      <w:r>
        <w:rPr>
          <w:b/>
        </w:rPr>
        <w:t>E. 3</w:t>
      </w:r>
    </w:p>
    <w:p>
      <w:r>
        <w:t>Sur le fond, les recourants invoquent les garanties découlant des art. 6 par. 1 CEDH et 30 al. 1 Cst., ainsi que les dispositions du CPP relatives à la récusation. Ils estiment que l'activité du Président en tant qu'associé de l'avocat d'une des parties permettrait de douter de son impartialité. Il y aurait un rapport entre la procédure pénale actuelle et la cause civile défendue par Pascal Verniory, puisque les faits à l'origine de l'enquête pénale auraient donné lieu à l'ouverture du site Internet. Le temps écoulé depuis lors ne ferait pas disparaître la cause de récusation.</w:t>
      </w:r>
    </w:p>
    <w:p>
      <w:r>
        <w:rPr>
          <w:b/>
        </w:rPr>
        <w:t>E. 3.1</w:t>
      </w:r>
    </w:p>
    <w:p>
      <w:r>
        <w:t>Selon les art. 6 par. 1 CEDH et 30 al. 1 Cst., toute personne dont la cause doit être jugée dans une procédure judiciaire a droit à ce que sa cause soit portée devant un tribunal établi par la loi, compétent, indépendant et impartial. Cette garantie permet d'exiger la récusation d'un juge dont la situation ou le comportement est de nature à faire naître un doute sur son impartialité ( ATF 136 III 405 126 I 68 consid. 3a p. 73). Selon l' art. 56 let . f CPP, toute personne exerçant une fonction au sein d'une autorité pénale est tenue de se récuser lorsque d'autres motifs, notamment un rapport d'amitié étroit ou d'inimitié avec une partie ou son conseil juridique, sont de nature à la rendre suspecte de prévention.</w:t>
      </w:r>
    </w:p>
    <w:p>
      <w:r>
        <w:t>A l'instar de l' art. 34 al. 1 let . e LTF, il s'agit d'une clause générale recouvrant tous les motifs de récusation non expressément prévus aux lettres précédentes de l' art. 56 CPP (arrêt 2C_755/2008 du 7 janvier 2009, SJ 2009 233 concernant l' art. 34 LTF ). Elle permet d'exiger la récusation d'un magistrat dont la situation ou le comportement est de nature à faire naître un doute sur son impartialité ( ATF 126 I 68 consid. 3a p. 73). Elle tend notamment à éviter que des circonstances extérieures à la cause ne puissent influencer le jugement en faveur ou au détriment d'une partie. Elle n'impose pas la récusation seulement lorsqu'une prévention effective du juge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 ATF 136 III 605 consid. 3.2.1 p. 608; 134 I 20 consid. 4.2 p. 21; 131 I 24 consid. 1.1 p. 25; 127 I 196 consid. 2b p. 198).</w:t>
      </w:r>
    </w:p>
    <w:p>
      <w:r>
        <w:rPr>
          <w:b/>
        </w:rPr>
        <w:t>E. 3.2</w:t>
      </w:r>
    </w:p>
    <w:p>
      <w:r>
        <w:t>Les circonstances évoquées par les recourants remontent à 2001, époque à laquelle le président exerçait accessoirement (parallèlement à ses fonctions d'assistant et de chargé d'enseignement à la faculté de droit de l'Université de Genève, à temps plein) en tant qu'avocat - associé pour les frais uniquement - dans la même étude que son frère. Ce dernier avait alors représenté la BCG dans une procédure judiciaire et avait obtenu, sur mesures provisionnelles, la fermeture d'un site Internet ouvert aux "déçus de la BCG", permettant au public d'exprimer son mécontentement au sujet de la gestion de la banque et mettant en cause la réputation de ses dirigeants. Il apparaît ainsi que l'activité déployée par l'avocat s'est exercée en faveur de la banque et de ses dirigeants; le fait que les intérêts de l'une et des autres aient par la suite divergé ne change rien à cette appréciation. Ce mandat a pris fin, de sorte que le frère du Président ne représente plus actuellement la BCG et n'a plus de liens avec cette banque, quand bien même certaines obligations découlant de ce mandat (obligation de garder le secret) pourraient encore subsister. Par ailleurs, le magistrat intimé a affirmé - sans que ses déclarations ne soient mises en doute sur ce point - n'avoir jamais assisté, remplacé ou excusé son frère dans le cadre de ce mandat. Considérées objectivement, les circonstances ne sont dès lors en rien comparables avec les exemples tirés de la jurisprudence rappelée par la cour cantonale à propos des relations entre le juge, les parties et leurs mandataires.</w:t>
      </w:r>
    </w:p>
    <w:p>
      <w:r>
        <w:rPr>
          <w:b/>
        </w:rPr>
        <w:t>E. 3.3</w:t>
      </w:r>
    </w:p>
    <w:p>
      <w:r>
        <w:t>Les recourants reprochent au Président de ne pas avoir révélé les faits précités, notamment dans sa prise de position du 17 janvier 2011, alors que cette dernière pouvait légitimement être tenue pour sincère et complète. Le fait de ne pas avoir déclaré cette activité viendrait renforcer le soupçon de partialité. Dans le contexte particulier de l'affaire dite de la BCG, et compte tenu des diverses récusations déjà intervenues, un strict respect des règles d'impartialité s'imposait, et le magistrat en cause devait spontanément renseigner les parties sur de possibles motifs de récusation.</w:t>
      </w:r>
    </w:p>
    <w:p>
      <w:r>
        <w:t>Comme cela est relevé ci-dessus, l'activité du Président en tant qu'avocat associé à son frère, dans les circonstances précitées, ne constitue manifestement pas un motif de récusation. Le magistrat pouvait donc de bonne foi s'abstenir d'en faire état, sans que cela ne représente un motif supplémentaire de douter de son impartialité.</w:t>
      </w:r>
    </w:p>
    <w:p>
      <w:r>
        <w:rPr>
          <w:b/>
        </w:rPr>
        <w:t>E. 4</w:t>
      </w:r>
    </w:p>
    <w:p>
      <w:r>
        <w:t>Il en résulte que c'est à bon droit que la demande de récusation a été écartée sur le fond. Le recours doit par conséquent être rejeté, aux frais des recourants ( art. 66 al. 1 LTF ) et sans allocation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