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22/2020 vom 18. März 2020</w:t>
      </w:r>
    </w:p>
    <w:p>
      <w:r>
        <w:t>Bundesgericht, 2020-03-18, DE</w:t>
      </w:r>
    </w:p>
    <w:p>
      <w:r>
        <w:rPr>
          <w:b/>
        </w:rPr>
        <w:t xml:space="preserve">Quelle: </w:t>
      </w:r>
      <w:r>
        <w:t>https://mcp.opencaselaw.ch/entscheid/bger_1B_22_2020</w:t>
      </w:r>
    </w:p>
    <w:p>
      <w:r>
        <w:t>FR: TF 1B 22/2020 du 18 mars 2020</w:t>
      </w:r>
    </w:p>
    <w:p>
      <w:r>
        <w:t>IT: TF 1B 22/2020 del 18 marzo 2020</w:t>
      </w:r>
    </w:p>
    <w:p>
      <w:pPr>
        <w:pStyle w:val="Heading2"/>
      </w:pPr>
      <w:r>
        <w:t>Regeste</w:t>
      </w:r>
    </w:p>
    <w:p>
      <w:r>
        <w:t>Strafverfahren; Ausstandsbegehren | Zuständigkeitsfragen, Garantie des Wohnsitzrichters und des v...</w:t>
      </w:r>
    </w:p>
    <w:p>
      <w:pPr>
        <w:pStyle w:val="Heading2"/>
      </w:pPr>
      <w:r>
        <w:t>Erwägungen</w:t>
      </w:r>
    </w:p>
    <w:p>
      <w:r>
        <w:rPr>
          <w:b/>
        </w:rPr>
        <w:t>E. 1.1</w:t>
      </w:r>
    </w:p>
    <w:p>
      <w:r>
        <w:t>Beim angefochtenen Entscheid handelt es sich um einen selbständig anfechtbaren Zwischenentscheid über den Ausstand in einem Strafverfahren, gegen den grundsätzlich die Beschwerde in Strafsachen an das Bundesgericht offen steht (Art. 78 ff. i.V.m. Art. 92 Abs. 1 BGG ).</w:t>
      </w:r>
    </w:p>
    <w:p>
      <w:r>
        <w:rPr>
          <w:b/>
        </w:rPr>
        <w:t>E. 1.2</w:t>
      </w:r>
    </w:p>
    <w:p>
      <w:r>
        <w:t>Das Bundesgericht legt seinem Urteil die Sachverhaltsfeststellungen der Vorinstanz zugrunde ( Art. 105 Abs. 1 BGG ), es sei denn, diese seien offensichtlich unrichtig, d.h. willkürlich, oder beruhten auf einer Rechtsverletzung im Sinne von Art. 95 BGG (vgl. Art. 97 Abs. 1 und Art. 105 Abs. 2 BGG ; BGE 145 IV 154 E. 1.1 S. 155 f. ; 143 I 310 E. 2.2 S. 313; je mit Hinweisen).</w:t>
      </w:r>
    </w:p>
    <w:p>
      <w:r>
        <w:rPr>
          <w:b/>
        </w:rPr>
        <w:t>E. 1.3</w:t>
      </w:r>
    </w:p>
    <w:p>
      <w:r>
        <w:t>Mit der Beschwerde in Strafsachen an das Bundesgericht kann insbesondere die Verletzung von Bundesrecht gerügt werden ( Art. 95 lit. a BGG ). 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w:t>
      </w:r>
    </w:p>
    <w:p>
      <w:r>
        <w:t>Die Beschwerdebegründung ist weitgehend appellatorischer Natur. Soweit der Beschwerdeführer insbesondere geltend macht, die vorinstanzlichen Sachverhaltsfeststellungen seien falsch, legt er nicht in genügendem Masse dar, dass sie offensichtlich unrichtig, d.h. willkürlich erhoben worden seien. Offensichtliche Sachverhaltsfehler sind auch nicht ersichtlich. Die tatsächlichen Feststellungen der Vorinstanz erweisen sich damit als für das Bundesgericht verbindlich (vgl. Art. 97 Abs. 1 und Art. 105 Abs. 1 und 2 BGG ). Der Beschwerdeführer nennt überdies keine Bestimmungen des Bundesgesetzesrechts, die verletzt worden sein sollten. Teilweise rechtsgenüglich gerügt wird einzig ein Verstoss gegen Art. 56 StPO .</w:t>
      </w:r>
    </w:p>
    <w:p>
      <w:r>
        <w:rPr>
          <w:b/>
        </w:rPr>
        <w:t>E. 3.1</w:t>
      </w:r>
    </w:p>
    <w:p>
      <w:r>
        <w:t>Die Vorinstanz kommt zum Ergebnis, dass der Beschwerdeführer die Ausstandsbegehren verspätet eingereicht habe, weshalb auf seine Beschwerde nicht einzutreten sei.</w:t>
      </w:r>
    </w:p>
    <w:p>
      <w:r>
        <w:rPr>
          <w:b/>
        </w:rPr>
        <w:t>E. 3.2</w:t>
      </w:r>
    </w:p>
    <w:p>
      <w:r>
        <w:t>Der Beschwerdeführer macht dagegen sinngemäss geltend, dass seine Eingabe fristgerecht ergangen sei, da er als Laie darüber nicht im Bilde gewesen sei, dass er ein Ausstandsbegehren nach Kenntnisnahme eines Ausstandsgrundes ohne Verzug zu stellen hatte und ihn die nötigen Abklärungen Zeit kosteten. Weiter macht er geltend, dass es ihm innert nützlicher Frist nicht gelungen sei, einen Rechtsbeistand zu finden.</w:t>
      </w:r>
    </w:p>
    <w:p>
      <w:r>
        <w:rPr>
          <w:b/>
        </w:rPr>
        <w:t>E. 3.3</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Praxis des Bundesgerichts sind Ausstandsgründe in der Regel innert etwa einer Woche geltend zu machen; ein Zuwarten während mehrerer Wochen ist hingegen nicht zulässig (Urteil 1B_149/2019 vom 3. September 2019 E. 2.3 mit Hinweisen). 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Tatsachen geltend zu machen, wenn erst eine Gesamtwürdigung zur Bejahung eines Ausstandsgrundes führt, während die isolierte Geltendmachung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(Urteil des Bundesgerichts 1B_357/2013 vom 24. Januar 2014 E. 5.3.1 mit Hinweisen).</w:t>
      </w:r>
    </w:p>
    <w:p>
      <w:r>
        <w:rPr>
          <w:b/>
        </w:rPr>
        <w:t>E. 3.4</w:t>
      </w:r>
    </w:p>
    <w:p>
      <w:r>
        <w:t>Die vom Beschwerdeführer genannten Befangenheitsgründe sind sehr allgemein gehalten, beziehen sich kaum auf den betroffenen Fall und sind daher auch nicht an konkreten Vorfällen festzumachen, welche sich ihrerseits fristauslösend hätten auswirken können. Allgemein sind die Ausführungen zur grossen wirtschaftlichen Bedeutung seines ehemaligen Arbeitgebers, wobei keine mit Bezug auf den betreffenden Fall und die betreffenden drei Oberrichter relevanten Vorkommnisse genannt werden. Konkrete, fallbezogene Vorkommnisse, die eine Befangenheit begründen könnten und über die bereits bekannten Mitgliedschaften und Funktionen einzelner Oberrichter in politischen Parteien hinausgingen, sind ebenfalls nicht ersichtlich. Die Allgemeinheit und die fehlende Fallbezogenheit der geltend gemachten Befangenheitsgründe bringen es daher mit sich, dass sie bereits bekannt waren, als die voraussichtliche Zusammensetzung des Spruchkörpers dem Beschwerdeführer mitgeteilt wurde. Wie die Vorinstanz richtig festgehalten hat, begann damit die Frist für allfällige Ausstandsbegehren mit der Zustellung der Verfügung über die voraussichtliche Zusammensetzung des Spruchkörpers am 12. Juli 2019 zu laufen. Die Ausstandsbegehren reichte der Beschwerdeführer erst am 11. August 2019 und damit vier Wochen später ein. Im Lichte der klaren gesetzlichen Regelung in Art. 58 Abs. 1 StPO und der vorgenannten bundesgerichtlichen Rechtsprechung (E. 3.3) erfolgte die Eingabe verspätet. Daran ändert auch der Einwand des Beschwerdeführers nichts, dass er Laie sei und verschiedene Umstände seine Nachforschungen verzögert hätten. Selbst die Berücksichtigung der konkreten Umstände kann angesichts der Allgemeinheit und der fehlenden Fallbezogenheit der vorgebrachten Befangenheitsgründe einen derart grosszügigen Massstab nicht rechtfertigen, nach welchem die Frist noch als erfüllt zu gelten hätte. Im Übrigen würde die Allgemeinheit und die fehlende Fallbezogenheit der vorgebrachten Befangenheitsgründe ohnehin dazu führen, dass die Beschwerde auch in der Sache abzuweisen wäre. Die Vorinstanz ist demnach zu Recht zum Schluss gekommen, dass die Eingabe verspätet ist.</w:t>
      </w:r>
    </w:p>
    <w:p>
      <w:r>
        <w:rPr>
          <w:b/>
        </w:rPr>
        <w:t>E. 4</w:t>
      </w:r>
    </w:p>
    <w:p>
      <w:r>
        <w:t>Der Beschwerdeführer rügt weiter, die Vorinstanz habe die Höhe der Gerichtsgebühr nicht begründet und zudem willkürlich festgelegt. Die Vorinstanz hat eine Gebühr von Fr. 800.-- erhoben. Diese bewegt sich damit am unteren Rand des Gebührenrahmens, der in § 3 Abs. 2 der Gebührenverordnung des Verwaltungsgerichts (des Kantons Zürich) vom 3. Juli 2018 (GebV VGr; LS 175.252) für Verfahren ohne bestimmbaren Streitwert vorgesehen ist. Für solche Fälle muss der Kostenentscheid nach bundesgerichtlicher Rechtsprechung nicht begründet werden (vgl. das Urteil 1C_156/2012 vom 12. Oktober 2012 E. 8.1; BGE 111 Ia 1 E. 2a S. 1; je mit Hinweisen). Inwiefern die Gebühr willkürlich sei, zeigt der Beschwerdeführer nicht auf.</w:t>
      </w:r>
    </w:p>
    <w:p>
      <w:r>
        <w:rPr>
          <w:b/>
        </w:rPr>
        <w:t>E. 5</w:t>
      </w:r>
    </w:p>
    <w:p>
      <w:r>
        <w:t>Die Beschwerde ist aus diesen Gründen abzuweisen, soweit darauf einzutreten ist.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