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1B_22/2016 vom 2. Februar 2016</w:t>
      </w:r>
    </w:p>
    <w:p>
      <w:r>
        <w:t>Bundesgericht, 2016-02-02, FR</w:t>
      </w:r>
    </w:p>
    <w:p>
      <w:r>
        <w:rPr>
          <w:b/>
        </w:rPr>
        <w:t xml:space="preserve">Quelle: </w:t>
      </w:r>
      <w:r>
        <w:t>https://mcp.opencaselaw.ch/entscheid/bger_1B_22_2016</w:t>
      </w:r>
    </w:p>
    <w:p>
      <w:r>
        <w:t>FR: TF 1B_22/2016 du 2 février 2016</w:t>
      </w:r>
    </w:p>
    <w:p>
      <w:r>
        <w:t>IT: TF 1B_22/2016 del 2 febbraio 2016</w:t>
      </w:r>
    </w:p>
    <w:p>
      <w:pPr>
        <w:pStyle w:val="Heading2"/>
      </w:pPr>
      <w:r>
        <w:t>Erwägungen</w:t>
      </w:r>
    </w:p>
    <w:p>
      <w:r>
        <w:rPr>
          <w:b/>
        </w:rPr>
        <w:t>E. 1</w:t>
      </w:r>
    </w:p>
    <w:p>
      <w:r>
        <w:t>Le recours en matière pénale ( art. 78 al. 1 LTF ) est ouvert contre une décision relative à la détention provisoire au sens des art. 212 ss CPP . Formé en temps utile ( art. 100 al. 1 LTF ) contre une décision prise en dernière instance cantonale ( art. 80 LTF ) et qui touche la recourante dans ses intérêts juridiquement protégés (art. 81 al. 1 let. a et b ch. 1 LTF), le recours est recevable. Il conserve toujours un intérêt actuel dans la mesure où la détention provisoire a été prolongée jusqu'au 27 avril 2016.</w:t>
      </w:r>
    </w:p>
    <w:p>
      <w:r>
        <w:rPr>
          <w:b/>
        </w:rPr>
        <w:t>E. 2</w:t>
      </w:r>
    </w:p>
    <w:p>
      <w:r>
        <w:t>La recourante reproche à l'autorité précédente une violation de l' art. 221 CPP dès lors qu'elle a retenu l'existence de charges suffisantes à son encontre.</w:t>
      </w:r>
    </w:p>
    <w:p>
      <w:r>
        <w:rPr>
          <w:b/>
        </w:rPr>
        <w:t>E. 2.1</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art. 212 al. 3 CPP ). Pour que tel soit le cas, la privation de liberté doit être justifiée par les besoins de l'instruction, un risque de fuite ou un danger de collusion ou de réitération (art. 221 al. 1 let. a, b et c CPP).</w:t>
      </w:r>
    </w:p>
    <w:p>
      <w:r>
        <w:t>Préalablement à l'examen de ces hypothèses, il doit exister à l'égard de l'intéressé des charges suffisantes ou des indices sérieux de culpabilité ( art. 221 al. 1 CPP ; art. 5 §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116 Ia 143 consid. 3c p. 146).</w:t>
      </w:r>
    </w:p>
    <w:p>
      <w:r>
        <w:rPr>
          <w:b/>
        </w:rPr>
        <w:t>E. 2.2</w:t>
      </w:r>
    </w:p>
    <w:p>
      <w:r>
        <w:t>La Chambre des recours pénale a retenu qu'à ce stade de l'instruction, les éléments au dossier ne permettaient pas d'exclure que l'infraction d'escroquerie soit réalisée. Bien au contraire, si l'on se réfère au modus operandi que semble adopter la recourante, lequel consiste à tromper la confiance de personnes âgées afin d'obtenir de l'argent de leur part et à tirer profit du fait que leur esprit critique pourrait être altéré en raison de leur âge avancé, comme c'était le cas du plaignant au moment des faits, la commission d'une telle infraction apparaît vraisemblable.</w:t>
      </w:r>
    </w:p>
    <w:p>
      <w:r>
        <w:t>La recourante conteste quant à elle toute escroquerie, considérant que les éléments constitutifs objectifs de la tromperie et de l'astuce au sens de l' art. 146 CP ne sont pas réalisés; aucun élément au dossier ne permettrait de retenir qu'elle aurait menti ou que le plaignant aurait un quelconque problème psychologique lié à son âge ou à une autre maladie pouvant affecter ses fonctions cognitives et volitives dont elle aurait tiré parti pour lui soutirer de l'argent; elle n'aurait pas davantage recouru à des procédés astucieux, mais le plaignant lui aurait remis l'argent de son plein gré.</w:t>
      </w:r>
    </w:p>
    <w:p>
      <w:r>
        <w:rPr>
          <w:b/>
        </w:rPr>
        <w:t>E. 2.3</w:t>
      </w:r>
    </w:p>
    <w:p>
      <w:r>
        <w:t>Au stade de la détention provisoire, l'autorité n'a pas à résoudre définitivement les questions de qualification juridique des faits poursuivis, puisque cela est du ressort, le cas échéant, de l'autorité de jugement. Dans le cadre de l'examen des charges suffisantes au sens de l' art. 221 CPP , le juge de la détention doit examiner la qualification juridique des faits prima facie, sous l'angle de la simple vraisemblance ( ATF 137 IV 122 consid. 3.2 p. 126). Il en va ainsi s'agissant de savoir si les faits dénoncés peuvent ou non tomber sous le coup de l' art. 146 CP réprimant l'escroquerie (arrêts 1B_292/2015 du 23 septembre 2015 consid. 4.2 et 1B_446/2012 du 28 août 2012 consid. 3.1).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L'astuce est réalisée non seulement lorsque l'auteur recourt à un édifice de mensonges, à des manoeuvres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 ATF 133 IV 256 consid. 4.4.3 p. 264; 128 IV 18 consid. 3a p. 20). Tel est notamment le cas si l'auteur exploite un rapport de confiance préexistant qui dissuade la dupe de vérifier ( ATF 122 IV 246 consid. 3a p. 248) ou encore si la dupe, en raison de sa situation personnelle (faiblesse d'esprit, inexpérience, grand âge ou maladie), n'est pas en mesure de procéder à une vérification et que l'auteur exploite cette situation ( ATF 120 IV 186 consid. 1a p. 188).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que commandaient les circonstances ( ATF 135 IV 76 consid. 5.2 p. 81; 128 IV 18 consid. 3a p. 20).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 principe de la coresponsabilité ne saurait être utilisé pour nier trop aisément le caractère astucieux de la tromperie, en particulier lorsque l'auteur recherche systématiquement des victimes quelque peu naïves ( ATF 128 IV 18 consid. 3a p. 21).</w:t>
      </w:r>
    </w:p>
    <w:p>
      <w:r>
        <w:t>Lors de son audition d'arrestation, la recourante a notamment affirmé avoir convaincu le plaignant de lui donner de l'argent en lui disant qu'elle était sans abri, ce qui n'est pas conforme à la réalité puisqu'elle dispose d'une maison en Roumanie où elle réside avec son mari et sa fille et vit dans une caravane lorsqu'elle est à l'étranger. Selon le plaignant, elle aurait justifié un besoin d'argent pour financer ses études (cf. rapport d'investigation de la Police de sûreté) et à une autre occasion par des soucis rencontrés avec son frère dans le cadre d'un héritage (cf. procès-verbal d'audition du 24 juin 2015). La recourante a donc ainsi fourni des indications inexactes pour susciter la compassion de B.________ et l'inciter à lui donner de l'argent. Le fait que le plaignant ait fait preuve d'une grande naïveté, comme il l'a admis lui-même, ne permet pas encore de retenir que l'élément de l'astuce ferait défaut; en l'état, on ne saurait exclure que B.________, âgé de 80 ans, n'était pas en pleine possession de ses facultés et qu'il n'était pas en mesure de se méfier. La Justice de paix a au contraire jugé l'état de santé du plaignant suffisamment préoccupant pour le placer sous curatelle de portée générale provisoire sur la base des faits à l'origine de la procédure pénale et du certificat médical de son médecin-traitant. Or, l'astuce consiste précisément à abuser de la confiance ou de la faiblesse de la dupe (cf. ATF 120 IV 186 consid. 1a p. 188; arrêt 6B_319/2009 du 29 octobre 2009 consid. 2.3). C'est dès lors à juste titre que la cour cantonale a retenu, au stade actuel de la procédure, l'existence de charges suffisantes du chef d'escroquerie.</w:t>
      </w:r>
    </w:p>
    <w:p>
      <w:r>
        <w:t>Pour le surplus, les risques de fuite et de collusion retenus par la juridiction précédente pour justifier le maintien en détention ne sont pas contestés. La recourante ne soutient pas non plus qu'il existerait des mesures de substitution propres à pallier ces dangers ou que le principe de proportionnalité serait violé en raison de la durée de la détention subie.</w:t>
      </w:r>
    </w:p>
    <w:p>
      <w:r>
        <w:t>Partant, la Chambre des recours pénale n'a pas violé le droit fédéral en confirmant le maintien en détention provisoire.</w:t>
      </w:r>
    </w:p>
    <w:p>
      <w:r>
        <w:rPr>
          <w:b/>
        </w:rPr>
        <w:t>E. 3</w:t>
      </w:r>
    </w:p>
    <w:p>
      <w:r>
        <w:t>Le recours doit par conséquent être rejeté aux frais de la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