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22/2009 vom 16. Februar 2009</w:t>
      </w:r>
    </w:p>
    <w:p>
      <w:r>
        <w:t>Bundesgericht, 2009-02-16, FR</w:t>
      </w:r>
    </w:p>
    <w:p>
      <w:r>
        <w:rPr>
          <w:b/>
        </w:rPr>
        <w:t xml:space="preserve">Quelle: </w:t>
      </w:r>
      <w:r>
        <w:t>https://mcp.opencaselaw.ch/entscheid/bger_1B_22_2009</w:t>
      </w:r>
    </w:p>
    <w:p>
      <w:r>
        <w:t>FR: TF 1B 22/2009 du 16 février 2009</w:t>
      </w:r>
    </w:p>
    <w:p>
      <w:r>
        <w:t>IT: TF 1B 22/2009 del 16 febbraio 2009</w:t>
      </w:r>
    </w:p>
    <w:p>
      <w:pPr>
        <w:pStyle w:val="Heading2"/>
      </w:pPr>
      <w:r>
        <w:t>Regeste</w:t>
      </w:r>
    </w:p>
    <w:p>
      <w:r>
        <w:t>prolongation de la détention et refus de mise en liberté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Dans un grief d'ordre formel, qu'il convient d'examiner en premier lieu, le recourant se plaint d'une violation de son droit d'être entendu, en raison d'un défaut de motivation de la décision attaquée. Il reproche à la Chambre d'accusation de l'avoir renvoyé à une précédente ordonnance du 20 janvier 2009 s'agissant des risques de fuite et de réitération, alors que l'arrêt de la Cour de cassation, notifié dans l'intervalle, imposait selon lui un nouvel examen de ces questions.</w:t>
      </w:r>
    </w:p>
    <w:p>
      <w:r>
        <w:rPr>
          <w:b/>
        </w:rPr>
        <w:t>E. 2.1</w:t>
      </w:r>
    </w:p>
    <w:p>
      <w:r>
        <w:t>Le droit d'être entendu, tel qu'il est garanti à l' art. 29 al. 2 Cst. ,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133 I 270 consid. 3.1 p. 277; 130 II 530 consid. 4.3 p. 540; 125 II 369 consid. 2c p. 372 et les références). Le Tribunal fédéral examine librement si les exigences posées par l' art. 29 al. 2 Cst. ont été respectées ( ATF 124 I 49 consid. 3a p. 51; 122 I 153 consid. 3 p. 158 et les arrêts cités). Selon la jurisprudence rendue en matière de prolongation de la détention préventive, une motivation par renvoi à de précédentes décisions ou par adhésion aux motifs de la demande de prolongation de la détention peut être admissible, pour autant que le prévenu ne fasse pas valoir d'arguments nouveaux ( ATF 123 I 31 consid. 2c p. 34; 114 Ia 281 consid. 4c p. 285; 103 Ia 407 consid. 3a p. 409). Encore faut-il que les motifs auxquels il est renvoyé soient développés de manière suffisante au regard des exigences de l' art. 29 al. 2 Cst. (arrêt non publié 1P.198/2006 du 25 avril 2006 consid. 4).</w:t>
      </w:r>
    </w:p>
    <w:p>
      <w:r>
        <w:rPr>
          <w:b/>
        </w:rPr>
        <w:t>E. 2.2</w:t>
      </w:r>
    </w:p>
    <w:p>
      <w:r>
        <w:t>En l'espèce, l'ordonnance attaquée porte uniquement sur la question de la proportionnalité de la détention. S'agissant des motifs du maintien en détention, la Chambre d'accusation renvoie à une précédente ordonnance du 20 janvier 2009, qui contient elle-même une motivation particulièrement succincte à cet égard; elle se réfère en effet à d'autres ordonnances datant des 4 mai et 31 juillet 2007 concernant le risque de réitération et elle se limite à qualifier le risque de fuite de "très important", comme elle l'aurait "systématiquement retenu [...] avant le prononcé de l'arrêt de la Cour correctionnelle". La Chambre d'accusation n'a donc pas réexaminé les risques de fuite et de réitération après qu'elle a eu connaissance de l'arrêt de la Cour de cassation du 13 janvier 2009 acquittant le recourant de trois des quatre chefs d'accusation pesant sur lui. Elle a certes tenu compte de cet arrêt dans le cadre de l'examen de la proportionnalité, mais les critères d'appréciation ne sont pas les mêmes s'agissant des risques de fuite et de réitération. On ne saurait donc considérer que les développements de l'ordonnance attaquée relatifs à la proportionnalité valent pour les motifs de détention précités, ce que la Chambre d'accusation ne prétend au demeurant pas. En outre, même si l'on peut supposer que la peine à laquelle est exposé le recourant demeure importante, elle sera vraisemblablement inférieure à celle prononcée le 27 septembre 2007 et il est manifeste que cet élément est susceptible d'influer sur le risque de fuite. A cela s'ajoute le fait que le recourant a déjà subi une longue détention préventive, ce qui réduit d'autant la durée de la peine qui lui resterait à purger après sa condamnation. Ces nouveaux éléments devaient dès lors être pris en compte dans l'appréciation du risque de fuite. Ils devaient être mis en balance avec les attaches du recourant en Suisse, en particulier son fils cadet placé dans une institution spécialisée. Par ailleurs, l'abandon de trois chefs d'accusation sur quatre n'est pas non plus indifférent lorsqu'il s'agit d'apprécier le risque de récidive. En définitive, en omettant de prendre en compte les circonstances nouvelles et de réexaminer les motifs de maintien en détention, la Chambre d'accusation a failli à son devoir de motivation. On ignore en effet les raisons pour lesquelles cette autorité considère que l'intensité des risques de fuite et de récidive est inchangée. Le simple renvoi à de précédentes ordonnances rendues dans des circonstances différentes n'est pas admissible de ce point de vue, ce d'autant moins que la durée de la détention avant jugement est en l'occurrence particulièrement longue.</w:t>
      </w:r>
    </w:p>
    <w:p>
      <w:r>
        <w:rPr>
          <w:b/>
        </w:rPr>
        <w:t>E. 3</w:t>
      </w:r>
    </w:p>
    <w:p>
      <w:r>
        <w:t>Il convient dès lors d'annuler l'ordonnance attaquée et de renvoyer la cause à la Chambre d'accusation pour qu'elle statue à nouveau sur la demande de mise en liberté provisoire, à très brève échéance et par une ordonnance suffisamment motivée. Il ne résulte pas nécessairement de l'annulation de l'ordonnance querellée que le recourant doive être immédiatement remis en liberté. En effet, les risques de fuite et de réitération ne peuvent pas d'emblée être exclus.</w:t>
      </w:r>
    </w:p>
    <w:p>
      <w:r>
        <w:rPr>
          <w:b/>
        </w:rPr>
        <w:t>E. 4</w:t>
      </w:r>
    </w:p>
    <w:p>
      <w:r>
        <w:t>Il s'ensuit que le recours doit être partiellement admis, sans qu'il soit nécessaire d'examiner les autres griefs soulevés par le recourant. L'ordonnance attaquée doit donc être annulée et la cause renvoyée à la Chambre d'accusation pour nouvelle décision au sens des considérants. Il n'y a pas lieu de percevoir des frais judiciaires ( art. 66 al. 4 LTF ). Le recourant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