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1B_227/2018 vom 20. Juli 2018</w:t>
      </w:r>
    </w:p>
    <w:p>
      <w:r>
        <w:t>Bundesgericht, 2018-07-20, DE</w:t>
      </w:r>
    </w:p>
    <w:p>
      <w:r>
        <w:rPr>
          <w:b/>
        </w:rPr>
        <w:t xml:space="preserve">Quelle: </w:t>
      </w:r>
      <w:r>
        <w:t>https://mcp.opencaselaw.ch/entscheid/bger_1B_227_2018</w:t>
      </w:r>
    </w:p>
    <w:p>
      <w:r>
        <w:t>FR: TF 1B_227/2018 du 20 juillet 2018</w:t>
      </w:r>
    </w:p>
    <w:p>
      <w:r>
        <w:t>IT: TF 1B_227/2018 del 20 luglio 2018</w:t>
      </w:r>
    </w:p>
    <w:p>
      <w:pPr>
        <w:pStyle w:val="Heading2"/>
      </w:pPr>
      <w:r>
        <w:t>Erwägungen</w:t>
      </w:r>
    </w:p>
    <w:p>
      <w:r>
        <w:rPr>
          <w:b/>
        </w:rPr>
        <w:t>E. 1.1</w:t>
      </w:r>
    </w:p>
    <w:p>
      <w:r>
        <w:t>Angefochten ist ein kantonal letztinstanzlicher Entscheid, mit dem das Thurgauer Obergericht die von der Staatsanwaltschaft Kreuzlingen für die Dauer ihrer Zuständigkeit nach den Wünschen des Beschwerdeführers getroffene Regelung der amtlichen Verteidigung geschützt, es indessen abgelehnt hat, auch für die Zeit nach der Übernahme des Strafverfahrens durch die Staatsanwaltschaft des Kantons Schaffhausen einen amtlichen Verteidiger einzusetzen;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1.2</w:t>
      </w:r>
    </w:p>
    <w:p>
      <w:r>
        <w:t>Wie sich aus der Stellungnahme der Staatsanwaltschaft des Kantons Schaffhausen vom 30. Mai 2018 ergibt, ist der Beschwerdeführer zurzeit nach wie vor durch Rechtsanwalt B.________ amtlich verteidigt. In dieser Konstellation droht dem Beschwerdeführer kein nicht wiedergutzumachender Nachteil, da seine Verteidigung, wenn auch nicht durch seinen Wunschverteidiger, nach wie vor gewährleistet ist, ( BGE 135 I 261 E. 1.2 mit Hinweisen auf die konstante, bereits unter dem altrechtlichen Art. 87 Abs. 2 OG geltende Praxis). Auf die Beschwerde ist nicht einzutreten, und zwar, da die Sach- und Rechtslage klar ist, im vereinfachten Verfahren.</w:t>
      </w:r>
    </w:p>
    <w:p>
      <w:r>
        <w:rPr>
          <w:b/>
        </w:rPr>
        <w:t>E. 1.3</w:t>
      </w:r>
    </w:p>
    <w:p>
      <w:r>
        <w:t>Das schadet dem Beschwerdeführer insofern nicht, als die Beschwerde in der Sache offensichtlich unbegründet ist, endete doch die Zuständigkeit der Thurgauer Behörden zur Regelung der amtlichen Verteidigung klarerweise mit der Übernahme des Strafverfahrens durch die Schaffhauser Behörden. Die Beschwerde grenzt an Trölerei.</w:t>
      </w:r>
    </w:p>
    <w:p>
      <w:r>
        <w:rPr>
          <w:b/>
        </w:rPr>
        <w:t>E. 2</w:t>
      </w:r>
    </w:p>
    <w:p>
      <w:r>
        <w:t>Bei diesem Ausgang des Verfahrens trägt der Beschwerdeführer die Kosten ( Art. 66 Abs. 1 BGG ). Er hat zwar ein Gesuch um unentgeltliche Rechtspflege und Verbeiständung gestellt, welches indessen abzuweisen ist, da die Beschwerde aussichtslos war ( Art. 64 Abs. 1 und 23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