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1B_227/2015 vom 18. Januar 2016</w:t>
      </w:r>
    </w:p>
    <w:p>
      <w:r>
        <w:t>Bundesgericht, 2016-01-18, DE</w:t>
      </w:r>
    </w:p>
    <w:p>
      <w:r>
        <w:rPr>
          <w:b/>
        </w:rPr>
        <w:t xml:space="preserve">Quelle: </w:t>
      </w:r>
      <w:r>
        <w:t>https://mcp.opencaselaw.ch/entscheid/bger_1B_227_2015</w:t>
      </w:r>
    </w:p>
    <w:p>
      <w:r>
        <w:t>FR: TF 1B_227/2015 du 18 janvier 2016</w:t>
      </w:r>
    </w:p>
    <w:p>
      <w:r>
        <w:t>IT: TF 1B_227/2015 del 18 gennaio 2016</w:t>
      </w:r>
    </w:p>
    <w:p>
      <w:pPr>
        <w:pStyle w:val="Heading2"/>
      </w:pPr>
      <w:r>
        <w:t>Erwägungen</w:t>
      </w:r>
    </w:p>
    <w:p>
      <w:r>
        <w:rPr>
          <w:b/>
        </w:rPr>
        <w:t>E. 1</w:t>
      </w:r>
    </w:p>
    <w:p>
      <w:r>
        <w:t>Die beantragte Vereinigung des vorliegenden Beschwerdeverfahrens 1B_227/2014 mit dem Beschwerdeverfahren 1B_240/2015, welches ebenfalls die Beschwerdeführer betrifft, ist nicht sachgerecht.</w:t>
      </w:r>
    </w:p>
    <w:p>
      <w:r>
        <w:t>Die Angelegenheit ist spruchreif. Eine mündliche Verhandlung ist nicht notwendig; ebenso wenig der Beizug weiterer Akten.</w:t>
      </w:r>
    </w:p>
    <w:p>
      <w:r>
        <w:t>Das Bundesgericht veröffentlicht regelmässig die Zusammensetzung seiner Abteilungen, teilt aber die Besetzung des Spruchkörpers und den Namen des Instruktionsrichters den Parteien vor seinem Entscheid praxisgemäss nicht mit. Davon abzuweichen besteht hier kein Grund.</w:t>
      </w:r>
    </w:p>
    <w:p>
      <w:r>
        <w:t>Die Vorinstanz und die Staatsanwaltschaft haben sich zur Beschwerde vernehmen lassen. Die Vernehmlassungen wurden den Beschwerdeführern zugestellt und sie konnten sich dazu äussern. Ihrem Anspruch auf rechtliches Gehör im bundesgerichtlichen Verfahren ist damit Genüge getan. Weiterungen erübrigen sich auch insoweit.</w:t>
      </w:r>
    </w:p>
    <w:p>
      <w:r>
        <w:t>Die Beschwerdeführer haben ihre Eingaben vom 26. November 2015 und 7. Dezember 2015 dem Bundesgericht nach Ablauf der für die Replik angesetzten Frist eingereicht. Die Eingaben können deshalb nicht berücksichtigt werden. Sie hätten am Ausgang des Verfahrens im Übrigen nichts geändert.</w:t>
      </w:r>
    </w:p>
    <w:p>
      <w:r>
        <w:rPr>
          <w:b/>
        </w:rPr>
        <w:t>E. 2.1</w:t>
      </w:r>
    </w:p>
    <w:p>
      <w:r>
        <w:t>Der angefochtene Entscheid schliesst das Strafverfahren nicht ab. Es handelt sich um einen Zwischenentscheid gemäss Art. 93 BGG . Dagegen ist die Beschwerde nach Absatz 1 dieser Bestimmung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t>Der Beschwerdeführer muss, wenn das nicht offensichtlich ist, im Einzelnen darlegen, inwiefern die Beschwerdevoraussetzungen nach Art. 93 Abs. 1 BGG erfüllt sind. Andernfalls kann auf die Beschwerde mangels hinreichender Begründung ( Art. 42 Abs. 2 BGG ) nicht eingetreten werden ( BGE 137 III 324 E. 1.1 S. 328 f. mit Hinweisen).</w:t>
      </w:r>
    </w:p>
    <w:p>
      <w:r>
        <w:rPr>
          <w:b/>
        </w:rPr>
        <w:t>E. 2.2</w:t>
      </w:r>
    </w:p>
    <w:p>
      <w:r>
        <w:t>Die Variante nach Art. 93 Abs. 1 lit. b BGG fällt hier ausser Betracht.</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Endentscheid nicht mehr gänzlich behoben werden kann. Ein lediglich tatsächlicher Nachteil wie die Verlängerung oder Verteuerung des Verfahrens genügt nicht ( BGE 141 III 80 E. 1.2 S. 80; 139 IV 113 E. 1 S. 115; je mit Hinweisen).</w:t>
      </w:r>
    </w:p>
    <w:p>
      <w:r>
        <w:t>Die Beschwerdeführer rügen zur Hauptsache eine Verletzung ihres Anspruchs auf Akteneinsicht. Nach der Rechtsprechung droht ihnen insoweit nicht ohne Weiteres ein nicht wieder gutzumachender Nachteil rechtlicher Natur ( BGE 137 IV 172 ; Urteil 1B_439/2012 vom 8. November 2012 E. 1.2). Sie hätten sich deshalb näher hierzu äussern müssen. Das tun sie nicht. Was sie auf S. 18 der Beschwerde vorbringen, genügt den Begründungsanforderungen ( Art. 42 Abs. 2 BGG ) nicht.</w:t>
      </w:r>
    </w:p>
    <w:p>
      <w:r>
        <w:t>Inwiefern der angefochtene Entscheid zu einer klaren Verletzung des Beschleunigungsgebots führen sollte, ist nicht auszumachen. Ein Verzicht auf das Erfordernis des nicht wieder gutzumachenden Nachteils rechtfertigt sich daher nicht (vgl. dazu Urteil 1B_569/2011 vom 23. Dezember 2011 E. 1.2 mit Hinweisen).</w:t>
      </w:r>
    </w:p>
    <w:p>
      <w:r>
        <w:t>Auf die Beschwerde kann deshalb nicht eingetreten werden.</w:t>
      </w:r>
    </w:p>
    <w:p>
      <w:r>
        <w:rPr>
          <w:b/>
        </w:rPr>
        <w:t>E. 2.3</w:t>
      </w:r>
    </w:p>
    <w:p>
      <w:r>
        <w:t>Hätte es sich anders verhalten, hätte das den Beschwerdeführern im Übrigen nicht geholfen. Ihre weitschweifigen und teilweise an Mutwilligkeit grenzenden Ausführungen wären, soweit sie mit dem Gegenstand des angefochtenen Entscheids überhaupt in Zusammenhang stehen, offensichtlich ungeeignet gewesen, diesen als bundesrechtswidrig erscheinen zu lassen.</w:t>
      </w:r>
    </w:p>
    <w:p>
      <w:r>
        <w:rPr>
          <w:b/>
        </w:rPr>
        <w:t>E. 3</w:t>
      </w:r>
    </w:p>
    <w:p>
      <w:r>
        <w:t>Da die Beschwerde aussichtlos war, kann dem sinngemäss gestellten Gesuch um unentgeltliche Rechtspflege nach Art. 64 BGG nicht entsprochen werden. Die Beschwerdeführer tragen daher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