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1B_227/2014 vom 18. September 2014</w:t>
      </w:r>
    </w:p>
    <w:p>
      <w:r>
        <w:t>Bundesgericht, 2014-09-18, DE</w:t>
      </w:r>
    </w:p>
    <w:p>
      <w:r>
        <w:rPr>
          <w:b/>
        </w:rPr>
        <w:t xml:space="preserve">Quelle: </w:t>
      </w:r>
      <w:r>
        <w:t>https://mcp.opencaselaw.ch/entscheid/bger_1B_227_2014</w:t>
      </w:r>
    </w:p>
    <w:p>
      <w:r>
        <w:t>FR: TF 1B_227/2014 du 18 septembre 2014</w:t>
      </w:r>
    </w:p>
    <w:p>
      <w:r>
        <w:t>IT: TF 1B_227/2014 del 18 settembre 2014</w:t>
      </w:r>
    </w:p>
    <w:p>
      <w:pPr>
        <w:pStyle w:val="Heading2"/>
      </w:pPr>
      <w:r>
        <w:t>Erwägungen</w:t>
      </w:r>
    </w:p>
    <w:p>
      <w:r>
        <w:rPr>
          <w:b/>
        </w:rPr>
        <w:t>E. 1</w:t>
      </w:r>
    </w:p>
    <w:p>
      <w:r>
        <w:t>Der angefochtene Entscheid schliesst das Strafverfahren nicht ab. Es handelt sich um einen Zwischenentscheid im Sinne von Art. 93 BGG . Dagegen ist die Beschwerde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t>Weder bewirkt der Kostenentscheid des Zwangsmassnahmengerichts für die Staatsanwaltschaft einen nicht wieder gutzumachenden Nachteil noch würde die Gutheissung der Beschwerde sofort einen Endentscheid herbeiführen. Der Kostenentscheid kann im Zusammenhang mit dem Endentscheid angefochten werden ( BGE 135 III 329 E. 1 S. 331 ff. mit Hinweisen) Die Voraussetzungen von Art. 93 BGG sind deshalb nicht erfüllt und auf die Beschwerde ist nicht einzutreten.</w:t>
      </w:r>
    </w:p>
    <w:p>
      <w:r>
        <w:rPr>
          <w:b/>
        </w:rPr>
        <w:t>E. 2</w:t>
      </w:r>
    </w:p>
    <w:p>
      <w:r>
        <w:t>Bei diesem Verfahrensausgang sind keine Gerichtskosten zu erheben ( Art. 66 Abs. 4 BGG ). Der Kanton Aargau hat dem anwaltlich vertretenen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