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1B_226/2016 vom 15. September 2016</w:t>
      </w:r>
    </w:p>
    <w:p>
      <w:r>
        <w:t>Bundesgericht, 2016-09-15, FR</w:t>
      </w:r>
    </w:p>
    <w:p>
      <w:r>
        <w:rPr>
          <w:b/>
        </w:rPr>
        <w:t xml:space="preserve">Quelle: </w:t>
      </w:r>
      <w:r>
        <w:t>https://mcp.opencaselaw.ch/entscheid/bger_1B_226_2016</w:t>
      </w:r>
    </w:p>
    <w:p>
      <w:r>
        <w:t>FR: TF 1B_226/2016 du 15 septembre 2016</w:t>
      </w:r>
    </w:p>
    <w:p>
      <w:r>
        <w:t>IT: TF 1B_226/2016 del 15 settembre 2016</w:t>
      </w:r>
    </w:p>
    <w:p>
      <w:pPr>
        <w:pStyle w:val="Heading2"/>
      </w:pPr>
      <w:r>
        <w:t>Erwägungen</w:t>
      </w:r>
    </w:p>
    <w:p>
      <w:r>
        <w:rPr>
          <w:b/>
        </w:rPr>
        <w:t>E. 1</w:t>
      </w:r>
    </w:p>
    <w:p>
      <w:r>
        <w:t>Formé en temps utile ( art. 100 al. 1 LTF ) contre une décision prise en dernière instance cantonale ( art. 80 al. 1 LTF ) et qui touche les recourants dans leurs intérêts juridiquement protégés (art. 81 al. 1 let. a et b ch. 1 LTF), le recours est recevable comme recours en matière pénale.</w:t>
      </w:r>
    </w:p>
    <w:p>
      <w:r>
        <w:t>La décision attaquée constitue une décision incidente pour le prévenu (arrêts 1B_358/2014 12 décembre 2014; 4A_140/2013 du 4 juillet 2013 consid. 1.1; 1B_420/2011 du 21 novembre 2011 consid. 1.2). Le recours en matière pénale n'est donc recevable que si la décision entreprise est susceptible de causer un préjudice irréparable au sens de l' art. 93 al. 1 let. a LTF ( ATF 133 IV 335 consid. 4; 129 I 129 consid. 1.1). Cette hypothèse doit être admise pour le prévenu qui se voit privé définitivement de la possibilité de librement choisir son avocat (arrêt 1B_358/2014 du 12 décembre 2014 consid. 2). Le recours de l'avocat est également recevable, la décision attaquée présentant, pour lui, un caractère final.</w:t>
      </w:r>
    </w:p>
    <w:p>
      <w:r>
        <w:rPr>
          <w:b/>
        </w:rPr>
        <w:t>E. 2</w:t>
      </w:r>
    </w:p>
    <w:p>
      <w:r>
        <w:t>Les recourants contestent que la direction de la procédure au sens de l' art. 61 CPP serait compétente pour interdire à l'avocat de choix du prévenu d'exercer son mandat.</w:t>
      </w:r>
    </w:p>
    <w:p>
      <w:r>
        <w:t>L'autorité en charge de la procédure statue d'office et en tout temps sur la capacité de postuler d'un mandataire professionnel ( ATF 141 IV 257 consid. 2.2 p. 261; arrêt 1B_149/2013 du 5 septembre 2013 consid. 2.4.2; cf. également ATF 138 II 162 consid. 2.5.1 p. 167). En effet, l'interdiction de postuler dans un cas concret - à distinguer d'une suspension provisoire ou définitive - ne relève en principe pas du droit disciplinaire, mais du contrôle du pouvoir de postuler de l'avocat ( ATF 138 II 162 consid. 2.5.1 p. 168). Les recourants se réfèrent eux-mêmes à l' art. 62 CPP qui prévoit que la direction de la procédure ordonne les mesures nécessaires au bon déroulement et à la légalité de la procédure. Or, la question de savoir si l'avocat doit se départir de son mandat en vertu, notamment, de la loi du 23 juin 2000 sur la libre circulation des avocats (Loi sur les avocats, LLCA; RS 935.61) relève précisément de la légalité de la procédure et de son bon déroulement. A cet égard, les recourants se méprennent lorsqu'ils considèrent que la décision attaquée limite l'interdiction de représentation aux audiences, l'avocat étant en l'espèce au contraire interdit de représenter son client dans toute la procédure, quelles que soient les démarches que cela implique.</w:t>
      </w:r>
    </w:p>
    <w:p>
      <w:r>
        <w:rPr>
          <w:b/>
        </w:rPr>
        <w:t>E. 3.1</w:t>
      </w:r>
    </w:p>
    <w:p>
      <w:r>
        <w:t>Dans les règles relatives aux conseils juridiques, l' art. 127 al. 4 CPP réserve la législation sur les avocats. L' art. 12 let . c LLCA prescrit à l'avocat d'éviter tout conflit entre les intérêts de son client et ceux des personnes avec lesquelles il est en relation sur le plan professionnel ou privé. Cette règle est en lien avec la clause générale de l' art. 12 let. a LLCA , selon laquelle l'avocat exerce sa profession avec soin et diligence, de même qu'avec l'obligation d'indépendance rappelée à l' art. 12 let. b LLCA ( ATF 141 IV 257 consid. 2.1 p. 260; 134 II 108 consid. 3 p. 109 s.).</w:t>
      </w:r>
    </w:p>
    <w:p>
      <w:r>
        <w:t>L'avocat a notamment le devoir d'éviter la double représentation, c'est-à-dire le cas où il serait amené à défendre les intérêts opposés de deux parties à la fois ( ATF 135 II 145 consid. 9.1 p. 154; 134 II 108 consid. 3 p. 110 et les références), car il n'est alors plus en mesure de respecter pleinement son obligation de fidélité et son devoir de diligence envers chacun de ses clients ( ATF 141 IV 257 consid. 2.1 p. 260; arrêt 2C_688/2009 du 25 mars 2010 consid. 3.1, in SJ 2010 I p. 433). Il y a violation de l' art. 12 let .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 ATF 134 II 108 consid. 3 p. 110 et les références). Il y a conflit d'intérêts au sens de l' art. 12 let . c LLCA dès que survient la possibilité d'utiliser, consciemment ou non, dans un nouveau mandat les connaissances acquises antérieurement sous couvert du secret professionnel, dans l'exercice d'un premier mandat. Il faut éviter toute situation potentiellement susceptible d'entraîner un tel conflit d'intérêts (arrêts 5A_967/2014 du 27 mars 2015 consid. 3.3.2; 2C_885/2010 du 22 février 2011 consid. 3.1; 2P.297/2005 du 19 avril 2006 consid. 4.1). Un risque purement abstrait ou théorique ne suffit pas, le risque doit être concret. Ainsi, dès qu'un conflit d'intérêts survient et que ses clients se trouvent opposés l'un à l'autre, l'avocat doit arrêter de les représenter (cf. ATF 135 II 145 consid. 9.1 p. 154 s.; 134 II 108 consid. 4.2.1 p. 112).</w:t>
      </w:r>
    </w:p>
    <w:p>
      <w:r>
        <w:t>Une prudence particulière doit s'imposer à l'avocat en raison des apparences créés à l'égard de l'ancien client qui peut légitimement ressentir une impression de trahison de la part de son ancien conseil (MICHEL VALTICOS, Commentaire Romand, in VALTICOS/ REISER/CHAPPUIS (édit.), Commentaire romand, Loi sur les avocats, 2009, n° 176</w:t>
      </w:r>
    </w:p>
    <w:p>
      <w:r>
        <w:t>ad</w:t>
      </w:r>
    </w:p>
    <w:p>
      <w:r>
        <w:t>art. 12 LLCA ).</w:t>
      </w:r>
    </w:p>
    <w:p>
      <w:r>
        <w:rPr>
          <w:b/>
        </w:rPr>
        <w:t>E. 3.2</w:t>
      </w:r>
    </w:p>
    <w:p>
      <w:r>
        <w:t>En l'occurrence, les faits constatés par la cour cantonale qui concrétiseraient le conflit d'intérêt sont les suivants. L'avocat a bénéficié, durant près de six ans, de mandats variés et réguliers de la part de C.Y.________ SA. Il a ensuite, durant près d'un an - et jusqu'à moins d'un an avant sa constitution dans la présente affaire -, fourni des services de domiciliation à la société, ce qui était de nature à mettre à sa portée des informations sur le fonctionnement interne de la faillie auxquelles un autre mandataire n'aurait pas eu accès. Au jour de sa constitution, l'avocat recourant détenait du reste encore une créance à l'encontre de la faillie, cette créance n'ayant été cédée que par la suite. Dans ces circonstances, on peut certes admettre, avec les recourants et à l'instar de ce qu'ont constaté les premiers juges, qu'il n'est en l'état pas établi que le mandataire disposerait d'informations allant au-delà de ce que pourrait lui communiquer son client. Il n'en demeure pas moins que l'avocat recourant a été en contact avec la société faillie par l'intermédiaire d'autres personnes que son seul client, qu'il a ainsi pu prendre connaissance d'informations - délibérément ou non - allant au-delà de ce que ce dernier aurait pu lui communiquer, ce peu de temps encore avant la constitution de son mandat, et qu'il existe ainsi un risque de conflit d'intérêts concret, ce même si un tel risque devait finalement ne pas se matérialiser. Au demeurant, les recourants prêtent eux-mêmes à la décision attaquée l'effet d'obliger "le prévenu à mandater pour l'assister en audience un avocat ayant une moins bonne connaissance de son dossier", alors qu'il ne peut y avoir absence de conflit d'intérêts que si les connaissances de l'avocat recourant ne vont pas au-delà de ce qu'un autre mandataire pourrait savoir. Enfin, comme l'a relevé la cour cantonale, la succession de C.X.________ SA en liquidation à la société C.Y.________ SA ne change rien, sur le fond, au risque de conflit d'intérêts. Dans ces circonstances, l'interdiction faite à l'avocat recourant de représenter son client et consort dans la procédure dirigée contre celui-ci, sur plainte notamment de C.X.________ SA en liquidation, est justifiée.</w:t>
      </w:r>
    </w:p>
    <w:p>
      <w:r>
        <w:rPr>
          <w:b/>
        </w:rPr>
        <w:t>E. 4</w:t>
      </w:r>
    </w:p>
    <w:p>
      <w:r>
        <w:t>Il résulte de ce qui précède que le recours doit être rejeté, aux frais de ses auteurs, qui succombent. Ceux-ci verseront par ailleurs des dépens à l'intimée C.X.________ SA en liquidation, qui a agi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