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1B_226/2014 vom 18. September 2014</w:t>
      </w:r>
    </w:p>
    <w:p>
      <w:r>
        <w:t>Bundesgericht, 2014-09-18, DE</w:t>
      </w:r>
    </w:p>
    <w:p>
      <w:r>
        <w:rPr>
          <w:b/>
        </w:rPr>
        <w:t xml:space="preserve">Quelle: </w:t>
      </w:r>
      <w:r>
        <w:t>https://mcp.opencaselaw.ch/entscheid/bger_1B_226_2014</w:t>
      </w:r>
    </w:p>
    <w:p>
      <w:r>
        <w:t>FR: TF 1B_226/2014 du 18 septembre 2014</w:t>
      </w:r>
    </w:p>
    <w:p>
      <w:r>
        <w:t>IT: TF 1B_226/2014 del 18 settembre 2014</w:t>
      </w:r>
    </w:p>
    <w:p>
      <w:pPr>
        <w:pStyle w:val="Heading2"/>
      </w:pPr>
      <w:r>
        <w:t>Erwägungen</w:t>
      </w:r>
    </w:p>
    <w:p>
      <w:r>
        <w:rPr>
          <w:b/>
        </w:rPr>
        <w:t>E. 1</w:t>
      </w:r>
    </w:p>
    <w:p>
      <w:r>
        <w:t>Angefochten ist ein Entsiegelungsentscheid des Zwangsmassnahmengerichts. Dagegen ist die Beschwerde in Strafsachen ans Bundesgericht gegeben ( Art. 78 ff. BGG ; Art. 248 Abs. 3 StPO i.V.m. Art. 80 Abs. 2 BGG ). Der Beschwerdeführer beruft sich als Inhaber der versiegelten Aufzeichnungen auf ein Zeugnisverweigerungsrecht wegen eines Berufsgeheimnisses. Bei der Entsiegelung wird definitiv darüber entschieden, ob die Geheimnisinteressen, welche vom Inhaber der versiegelten Aufzeichnungen angerufen werden, einer Durchsuchung durch die Staatsanwaltschaft entgegen stehen ( Art. 248 Abs. 1 StPO ; Urteil 1B_27/2012 vom 27. Juni 2012 E. 1 mit Hinweisen). Der Beschwerdeführer ist deshalb zur Beschwerde legitimiert und ein drohender, nicht wieder gutzumachender Rechtsnachteil im Sinne von Art. 93 Abs. 1 lit. a BGG ist zu bejahen. Dass die Staatsanwaltschaft die Unterlagen im Anschluss an den Entsiegelungsentscheid des Zwangsmassnahmengerichts sogleich durchsucht und beschlagnahmt hat, wie sie in ihrer Vernehmlassung anführt, lässt das Interesse des Beschwerdeführers an der Aufhebung oder Änderung des angefochtenen Entscheids nicht entfallen (vgl. zur Voraussetzung des aktuellen Rechtsschutzinteresses BGE 140 IV 74 E. 1.3.1 S. 77 mit Hinweis). Wäre die Beschwerde gutzuheissen, so erwiese sich damit nämlich auch die Beschlagnahme als unrechtmässig und wäre aufzuheben (vgl. Art. 246, Art. 248 Abs. 1 und Art. 264 Abs. 1 StPO ).</w:t>
      </w:r>
    </w:p>
    <w:p>
      <w:r>
        <w:t>Die weiteren Sachurteilsvoraussetzungen geben zu keinen Bemerkungen Anlass. Auf die Beschwerde ist einzutreten.</w:t>
      </w:r>
    </w:p>
    <w:p>
      <w:r>
        <w:rPr>
          <w:b/>
        </w:rPr>
        <w:t>E. 2.1</w:t>
      </w:r>
    </w:p>
    <w:p>
      <w:r>
        <w:t>Das Zwangsmassnahmengericht prüfte neben den Voraussetzungen des Tatverdachts, des Deliktskonnexes und der Verhältnismässigkeit, ob der Entsiegelung ein strafprozessual zu achtendes Geheimnis entgegenstehe. Es führte aus, die Sichtung der Unterlagen habe gezeigt, dass der Beschwerdeführer lediglich die Feinverteilung der Mittel aus den Hypothekardarlehen vorgenommen und dabei eine Art Treuhandfunktion ausgeübt habe. Darin sei eine nebenberufliche Tätigkeit gemäss Art. 29 Abs. 1 NG zu erblicken. Der Beschwerdeführer könne sich somit nicht auf das Notariatsgeheimnis berufen.</w:t>
      </w:r>
    </w:p>
    <w:p>
      <w:r>
        <w:rPr>
          <w:b/>
        </w:rPr>
        <w:t>E. 2.2</w:t>
      </w:r>
    </w:p>
    <w:p>
      <w:r>
        <w:t>Der Beschwerdeführer macht sinngemäss geltend, das Zwangsmassnahmengericht habe den Gehalt des Zeugnisverweigerungsrechts von Notaren gemäss Art. 171 StPO verkannt, welches nach Art. 264 Abs. 1 lit. c, Art. 246 und Art. 248 Abs. 1 StPO sowohl der Beschlagnahme als auch der Durchsuchung entgegensteht. Er macht geltend, im Rahmen der Immobilienfinanzierungen verschiedene Funktionen ausgeübt zu haben, die über jene eines blossen Intermediärs hinausgingen. Unter anderem habe er mit dem beauftragten Notar aus dem Kanton Aargau zusammengearbeitet. Seine Geheimnispflicht als Notar erfasse auch die nebenberufliche Tätigkeit.</w:t>
      </w:r>
    </w:p>
    <w:p>
      <w:r>
        <w:rPr>
          <w:b/>
        </w:rPr>
        <w:t>E. 2.3</w:t>
      </w:r>
    </w:p>
    <w:p>
      <w:r>
        <w:t>Die Staatsanwaltschaft hält dazu fest, aus dem Umstand, dass das kantonale Notariatsgesetz in Art. 29 den Notaren Nebentätigkeiten erlaube, könne nicht geschlossen werden, dass diese unter den bundesrechtlich definierten Geheimnisschutz gemäss Art. 321 StGB i.V.m. Art. 248 Abs. 1 und Art. 171 StPO fallen. Der Geheimnisschutz gelte im Bereich des Beurkundungsmonopols, nicht aber für privatrechtliche Tätigkeiten, die auch ein beliebiger Dritter ausüben könnte. Die Kaufverträge seien durch andere Notare beurkundet worden. Keine der in Frage stehenden Liegenschaften befinde sich denn auch im Kanton Bern.</w:t>
      </w:r>
    </w:p>
    <w:p>
      <w:r>
        <w:rPr>
          <w:b/>
        </w:rPr>
        <w:t>E. 2.4</w:t>
      </w:r>
    </w:p>
    <w:p>
      <w:r>
        <w:t>Das Bundesgericht hat sich bereits eingehend mit dem Zeugnisverweigerungsrecht des Anwalts befasst. Diese Rechtsprechung lässt sich analog auf Notare übertragen. Das Berufsgeheimnis des Anwalts erstreckt sich danach auf sämtliche Informationen, die diesem in Ausübung des Anwaltsberufs anvertraut werden. Das strafprozessuale Zeugnisverweigerungsrecht gilt indessen nicht für Informationen, die einem Anwalt im Rahmen von Dienstleistungen zukommen, welche über die berufsspezifische Tätigkeit hinausgehen. Dies gilt etwa für die Vermögensverwaltung, für reine Depotgeschäfte bzw. Inkassomandate oder für die Tätigkeit als Verwaltungsrat einer Gesellschaft. Inkasso- und Zahlungsmandate auf Rechnung Dritter fallen lediglich dann unter das anwaltliche Berufsgeheimnis, wenn der Anwalt mit Zahlungen betraut wird, die in einem Zusammenhang mit berufstypischen anwaltlichen Bemühungen stehen. Dazu gehören beispielsweise Überweisungen für Prozesszwecke, Akontozahlungen für anwaltliche Dienstleistungen und Substitutionen oder Zahlungen im Zusammenhang mit anwaltlich geführten Vertrags- oder Vergleichsverhandlungen ( BGE 135 III 597 E. 3.3 S. 601; 115 Ia 197 E. 3 S. 198 ff.; Urteil 1P.32/2005 vom 11. Juli 2005 E. 3.2 und 3.4).</w:t>
      </w:r>
    </w:p>
    <w:p>
      <w:r>
        <w:rPr>
          <w:b/>
        </w:rPr>
        <w:t>E. 2.5</w:t>
      </w:r>
    </w:p>
    <w:p>
      <w:r>
        <w:t>Der Beschwerdeführer hebt hervor, dass seine Funktion über die eines blossen Finanzintermediärs hinausgegangen sei. Jedoch macht er im Ergebnis nicht geltend, im Zusammenhang mit den fraglichen Liegenschaftskäufen im notariellen Monopolbereich gemäss Art. 20 NG tätig geworden zu sein. Vielmehr geht er - wie auch die Vorinstanz und die Staatsanwaltschaft - davon aus, dass die Zahlungen im Rahmen einer nebenberuflichen Tätigkeit gemäss Art. 29 NG stattfanden. Gemäss dieser Bestimmung ist die Notarin oder der Notar unter Vorbehalt der Bestimmungen über die Unvereinbarkeit berechtigt, neben der hauptberuflichen Tätigkeit Aufträge für Rechtsberatung, Vermögensverwaltung, Treuhandfunktionen und ähnliche Verrichtungen zu übernehmen (Abs. 1), wobei die nebenberufliche Tätigkeit dem Privatrecht unterliegt (Abs. 2). Nach dem Ausgeführten fallen derartige Nebentätigkeiten, die in keinem Zusammenhang mit der berufsspezifischen notariellen Tätigkeit stehen, indessen nicht unter das Berufsgeheimnis gemäss Art. 171 Abs. 1 StPO . Das vom Beschwerdeführer geltend gemachte Zeugnisverweigerungsrecht besteht somit nicht.</w:t>
      </w:r>
    </w:p>
    <w:p>
      <w:r>
        <w:rPr>
          <w:b/>
        </w:rPr>
        <w:t>E. 3</w:t>
      </w:r>
    </w:p>
    <w:p>
      <w:r>
        <w:t>Die Beschwerde ist abzuweisen. Damit wird das Gesuch des Beschwerdeführers um Erlass vorsorglicher Massnahmen während des bundesgerichtlichen Verfahrens gegenstandslos.</w:t>
      </w:r>
    </w:p>
    <w:p>
      <w:r>
        <w:t>Bei diesem Ausgang des Verfahrens sind die Gerichtskosten dem Beschwerdeführer aufzuerlegen ( Art. 66 Abs. 1 BGG ). Der Beschwerdeführer hat dem privaten Beschwerdegegner 4 entsprechend dessen Aufwendungen eine angemessene Parteientschädigung auszurichten; der Beschwerdeführer 3 hat darauf verzichtet, sich zu äussern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