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226/2012 vom 3. Mai 2012</w:t>
      </w:r>
    </w:p>
    <w:p>
      <w:r>
        <w:t>Bundesgericht, 2012-05-03, FR</w:t>
      </w:r>
    </w:p>
    <w:p>
      <w:r>
        <w:rPr>
          <w:b/>
        </w:rPr>
        <w:t xml:space="preserve">Quelle: </w:t>
      </w:r>
      <w:r>
        <w:t>https://mcp.opencaselaw.ch/entscheid/bger_1B_226_2012</w:t>
      </w:r>
    </w:p>
    <w:p>
      <w:r>
        <w:t>FR: TF 1B 226/2012 du 3 mai 2012</w:t>
      </w:r>
    </w:p>
    <w:p>
      <w:r>
        <w:t>IT: TF 1B 226/2012 del 3 maggio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Selon l'art. 81 al. 1 let. a et let. b ch. 1 LTF, le prévenu a qualité pour agir. Le recours est formé en temps utile ( art. 100 al. 1 LTF ) contre une décision rendue en dernière instance cantonale ( art. 80 LTF ). Les conclusions présentées sont en soi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critique certains faits retenus par la cour cantonale, notamment l'exposé figurant dans la commission rogatoire française à l'origine de la procédure ou le résultat de l'audience de confrontation du 13 mars 2012. Ces objections, qui figurent dans la partie en fait du recours, ne sont pas propres à faire apparaître comme "manifestement inexactes", au sens de l' art. 105 al. 2 LTF , les constatations de l'instance précédente. Le recourant relève qu'après deux mois d'enquête, il n'existerait aucune preuve documentaire de sa participation volontaire à des actes de blanchiment. Les actes reprochés relèveraient plutôt du défaut de vigilance ou de blanchiment par dol éventuel.</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 art. 221 al. 1 CPP ).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3.2</w:t>
      </w:r>
    </w:p>
    <w:p>
      <w:r>
        <w:t>Le recourant méconnaît qu'il est clairement mis en cause par deux comparses. Cela ressortait de la commission rogatoire adressée par les autorités françaises, et a été confirmé lors de l'audience de confrontation. B.________ a maintenu à cette occasion que le recourant avait changé environ 100'000 euros en grosses coupures. Il a également confirmé les termes d'un enregistrement téléphonique dans lequel le chiffre de 545, correspondant à 545'000 euros, est mentionné. L'explication du recourant, selon lequel il s'agissait de 545 euros en monnaie, a été clairement contestée par l'intéressé. Celui-ci a aussi fait état de virements effectués par le recourant à partir de montants illicites déposés à son bureau. Ces opérations sont corroborées par le contenu des enregistrements téléphoniques. Quant à C.________, il a déclaré avoir livré au recourant des sacs contenant au total 669'000 euros, et avoir récupéré 985'000 euros au total. Contrairement à ce que soutient le recourant, ces mises en cause, ainsi que les écoutes téléphoniques, constituent des indices suffisants quant à sa participation volontaire à des actes de blanchiment. A ce stade de l'enquête, les charges apparaissent donc suffisantes.</w:t>
      </w:r>
    </w:p>
    <w:p>
      <w:r>
        <w:rPr>
          <w:b/>
        </w:rPr>
        <w:t>E. 4</w:t>
      </w:r>
    </w:p>
    <w:p>
      <w:r>
        <w:t>Le recourant conteste ensuite l'existence d'un risque de collusion. Il relève que la clôture de l'instruction a été annoncée par le Ministère public, de sorte que le témoignage supplémentaire d'une dénommée "D.________" ne serait pas envisagé. Quant à C.________ et B.________, ils sont détenus en France et leur libération n'a pas été évoquée.</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137 IV 122 consid. 4.2 p. 127 s.; 132 I 21 consid. 3.2 p. 23; 128 I 149 consid. 2.1 p. 151; 123 I 31 consid. 3c p. 35 et les références).</w:t>
      </w:r>
    </w:p>
    <w:p>
      <w:r>
        <w:rPr>
          <w:b/>
        </w:rPr>
        <w:t>E. 4.2</w:t>
      </w:r>
    </w:p>
    <w:p>
      <w:r>
        <w:t>Les soupçons à l'encontre du recourant sont essentiellement fondés sur les déclarations des deux personnes précitées, que le Ministère public a l'intention de réentendre par voie de commission rogatoire. Le recourant a donc un intérêt évident à tenter d'entrer en contact avec elles afin d'obtenir un revirement de leur part. Cela peut se faire par l'entremise de tierces personnes, quand bien même le recourant serait contraint de demeurer en Suisse. Le fait que les intéressés sont actuellement en détention n'exclut pas non plus que le recourant puisse faire pression sur eux. Il apparaît par ailleurs que le recourant aurait effectué certains virements par l'entremise d'une société allemande. Contrairement à ce qu'il soutient, l'instruction n'est pas achevée et il y a lieu de craindre que le recourant ne tente de faire disparaître les traces de son activité. Le risque de collusion ne saurait dès lors être écarté, de sorte qu'il n'y a pas lieu à ce stade de s'interroger sur l'existence d'un risque de réitération.</w:t>
      </w:r>
    </w:p>
    <w:p>
      <w:r>
        <w:rPr>
          <w:b/>
        </w:rPr>
        <w:t>E. 5</w:t>
      </w:r>
    </w:p>
    <w:p>
      <w:r>
        <w:t>Le recourant invoque enfin son droit d'être entendu. Il reproche à la cour cantonale de s'être érigée en autorité de jugement sans prendre en considération, même sommairement, les arguments soulevés dans le recours cantonal. S'agissant d'un grief d'ordre constitutionnel, le Tribunal fédéral n'intervient pas d'office et n'examine que les griefs suffisamment motivés ( art. 106 al. 2 LTF ). Le recourant devrait donc à tout le moins indiquer quels griefs, dûment soulevés dans le recours cantonal et pertinents pour l'issue de la cause, n'auraient pas été examinés. Or, une telle indication fait défaut, de sorte que l'argument est irrecevable. La Chambre pénale a certes examiné dans le détail la question, déterminante, de l'existence de charges suffisantes, mais on ne voit pas en quoi il pourrait en résulter une violation du droit d'être entendu.</w:t>
      </w:r>
    </w:p>
    <w:p>
      <w:r>
        <w:rPr>
          <w:b/>
        </w:rPr>
        <w:t>E. 6</w:t>
      </w:r>
    </w:p>
    <w:p>
      <w:r>
        <w:t>Sur le vu de ce qui précède, le recours doit être rejeté,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