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1B_225/2022 vom 5. Mai 2022</w:t>
      </w:r>
    </w:p>
    <w:p>
      <w:r>
        <w:t>Bundesgericht, 2022-05-05, DE</w:t>
      </w:r>
    </w:p>
    <w:p>
      <w:r>
        <w:rPr>
          <w:b/>
        </w:rPr>
        <w:t xml:space="preserve">Quelle: </w:t>
      </w:r>
      <w:r>
        <w:t>https://mcp.opencaselaw.ch/entscheid/bger_1B_225_2022</w:t>
      </w:r>
    </w:p>
    <w:p>
      <w:r>
        <w:t>FR: TF 1B_225/2022 du 5 mai 2022</w:t>
      </w:r>
    </w:p>
    <w:p>
      <w:r>
        <w:t>IT: TF 1B_225/2022 del 5 maggio 2022</w:t>
      </w:r>
    </w:p>
    <w:p>
      <w:pPr>
        <w:pStyle w:val="Heading2"/>
      </w:pPr>
      <w:r>
        <w:t>Erwägungen</w:t>
      </w:r>
    </w:p>
    <w:p>
      <w:r>
        <w:rPr>
          <w:b/>
        </w:rPr>
        <w:t>E. 1</w:t>
      </w:r>
    </w:p>
    <w:p>
      <w:r>
        <w:t>Im Berufungsverfahren gegen das Urteil des Regionalgerichts Emmental-Oberaargau vom 16. Dezember 2020 ersuchte A.________ um Wechsel der amtlichen Verteidigung. Die 1. Strafkammer des Obergerichts des Kantons Bern wies mit Verfügung vom 28. April 2022 das Gesuch ab und hielt am Termin der Berufungsverhandlung vom 12./13. Mai 2022 fest. Zur Begründung führte sie zusammenfassend aus, dass kein Anlass zum Wechsel der amtlichen Verteidigung bestehe. Der beantragte Verteidigerwechsel würde einen erheblichen Mehraufwand infolge Einarbeitung in ein umfangreiches Verfahren und eine kurzfristige Verschiebung der Berufungsverhandlung mit etlichen Teilnehmern zur Folge haben.</w:t>
      </w:r>
    </w:p>
    <w:p>
      <w:r>
        <w:rPr>
          <w:b/>
        </w:rPr>
        <w:t>E. 2</w:t>
      </w:r>
    </w:p>
    <w:p>
      <w:r>
        <w:t>A.________ führt mit Eingabe vom 1. Mai 2022 Beschwerde in Strafsachen gegen die Verfügung der 1. Strafkammer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1. Strafkammer legte ausführlich dar, wehalb nach ihrer Auffassung kein Anlass zum Wechsel der amtlichen Verteidigung bestehe. Mit diesen Ausführungen setzt sich der Beschwerdeführer nicht rechtsgenüglich auseinander und vermag mit der Darstellung seiner Sicht der Dinge nicht nachvollziehbar aufzuzeigen, inwiefern die 1. Strafkammer in rechtswidriger Weise einen Anspruch auf Verteidigerwechsel verneint haben sollte. Der Beschwerdeführer legt nicht im Einzelnen und konkret dar, inwiefern die Begründung der 1.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Ausnahmsweise ist davon abzusehen, für das bundesgerichtliche Verfahren Kosten zu erheben ( Art. 66 Abs. 1 BGG ). Mit dem vorliegenden Entscheid in der Sache selbst ist das sinngemäss gestellte Gesuch um Anordnung von vorsorglichen Massnahmen gegenstandslos geworden.</w:t>
      </w:r>
    </w:p>
    <w:p>
      <w:r>
        <w:t>Demnach erkennt das präsidierende Mitglied:</w:t>
      </w:r>
    </w:p>
    <w:p>
      <w:r>
        <w:t>1.</w:t>
      </w:r>
    </w:p>
    <w:p>
      <w:r>
        <w:t>Auf die Beschwerde wird nicht eingetreten.</w:t>
      </w:r>
    </w:p>
    <w:p>
      <w:r>
        <w:t>2.</w:t>
      </w:r>
    </w:p>
    <w:p>
      <w:r>
        <w:t>Es werden keine Kosten erhoben.</w:t>
      </w:r>
    </w:p>
    <w:p>
      <w:r>
        <w:t>3.</w:t>
      </w:r>
    </w:p>
    <w:p>
      <w:r>
        <w:t>Dieses Urteil wird dem Beschwerdeführer, der Generalstaatsanwaltschaft des Kantons Bern, Rechtsanwalt B.________ und dem Obergericht des Kantons Bern, 1. Strafkammer, Präsidentin i.V., schriftlich mitgeteilt.</w:t>
      </w:r>
    </w:p>
    <w:p>
      <w:r>
        <w:t>Lausanne, 5. Mai 2022</w:t>
      </w:r>
    </w:p>
    <w:p>
      <w:r>
        <w:t>Im Namen der I. öffentlich-rechtlichen Abteilung</w:t>
      </w:r>
    </w:p>
    <w:p>
      <w:r>
        <w:t>des Schweizerischen Bundesgerichts</w:t>
      </w:r>
    </w:p>
    <w:p>
      <w:r>
        <w:t>Das präsidierende Mitglied: Jametti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