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1B_224/2022 vom 9. Mai 2022</w:t>
      </w:r>
    </w:p>
    <w:p>
      <w:r>
        <w:t>Bundesgericht, 2022-05-09, DE</w:t>
      </w:r>
    </w:p>
    <w:p>
      <w:r>
        <w:rPr>
          <w:b/>
        </w:rPr>
        <w:t xml:space="preserve">Quelle: </w:t>
      </w:r>
      <w:r>
        <w:t>https://mcp.opencaselaw.ch/entscheid/bger_1B_224_2022</w:t>
      </w:r>
    </w:p>
    <w:p>
      <w:r>
        <w:t>FR: TF 1B_224/2022 du 9 mai 2022</w:t>
      </w:r>
    </w:p>
    <w:p>
      <w:r>
        <w:t>IT: TF 1B_224/2022 del 9 maggio 2022</w:t>
      </w:r>
    </w:p>
    <w:p>
      <w:pPr>
        <w:pStyle w:val="Heading2"/>
      </w:pPr>
      <w:r>
        <w:t>Erwägungen</w:t>
      </w:r>
    </w:p>
    <w:p>
      <w:r>
        <w:rPr>
          <w:b/>
        </w:rPr>
        <w:t>E. 1</w:t>
      </w:r>
    </w:p>
    <w:p>
      <w:r>
        <w:t>Mit Verfügung vom 26. April 2022 hat die Zwangsmassnahmenrichterin am Bezirksgericht Hinwil die Sicherheitshaft gegen A.________ längstens bis zum 30. Juli 2022 verlängert.</w:t>
      </w:r>
    </w:p>
    <w:p>
      <w:r>
        <w:t>Mit eigenhändiger Eingabe vom 3. Mai 2022 stellt A.________ diese Verfügung dem Bundesgericht zu.</w:t>
      </w:r>
    </w:p>
    <w:p>
      <w:r>
        <w:t>Vernehmlassungen wurden keine eingeholt.</w:t>
      </w:r>
    </w:p>
    <w:p>
      <w:r>
        <w:rPr>
          <w:b/>
        </w:rPr>
        <w:t>E. 2</w:t>
      </w:r>
    </w:p>
    <w:p>
      <w:r>
        <w:t>Angefochten ist ein Haftentscheid, gegen den die Beschwerde nach Art. 78 ff. BGG grundsätzlich offen steht.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Der angefochtene Entscheid ist nicht kantonal letztinstanzlich und damit nicht anfechtbar ( Art. 80 Abs. 1 BGG ). Der Beschwerdeführer stellt keinen Antrag und setzt sich mit dem Haftentscheid nicht auseinander. Soweit verständlich, beklagt er sich darüber, dass ihm für polizeiliche Transporte Fussfesseln angelegt würden. Auch seine weiteren, kaum nachvollziehbaren Ausführungen haben keinen erkennbaren Bezug zum Haftentscheid. Aus der Beschwerdeschrift ergibt sich damit nicht, inwiefern er Bundesrecht verletzt, und das ist auch nicht ersichtlich. Auf die Beschwerde ist wegen Verletzung der gesetzlichen Begründungspflicht nicht einzutreten, wobei auf die Erhebung von Kosten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