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1B_224/2018 vom 4. Juli 2018</w:t>
      </w:r>
    </w:p>
    <w:p>
      <w:r>
        <w:t>Bundesgericht, 2018-07-04, DE</w:t>
      </w:r>
    </w:p>
    <w:p>
      <w:r>
        <w:rPr>
          <w:b/>
        </w:rPr>
        <w:t xml:space="preserve">Quelle: </w:t>
      </w:r>
      <w:r>
        <w:t>https://mcp.opencaselaw.ch/entscheid/bger_1B_224_2018</w:t>
      </w:r>
    </w:p>
    <w:p>
      <w:r>
        <w:t>FR: TF 1B_224/2018 du 4 juillet 2018</w:t>
      </w:r>
    </w:p>
    <w:p>
      <w:r>
        <w:t>IT: TF 1B_224/2018 del 4 luglio 2018</w:t>
      </w:r>
    </w:p>
    <w:p>
      <w:pPr>
        <w:pStyle w:val="Heading2"/>
      </w:pPr>
      <w:r>
        <w:t>Erwägungen</w:t>
      </w:r>
    </w:p>
    <w:p>
      <w:r>
        <w:rPr>
          <w:b/>
        </w:rPr>
        <w:t>E. 1</w:t>
      </w:r>
    </w:p>
    <w:p>
      <w:r>
        <w:t>Angefochten ist ein kantonal letztinstanzlicher Entscheid, mit dem das Appellationsgericht die Abweisung des Gesuchs des Beschuldigten um Auswechslung seiner amtlichen Verteidigerin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was hier nicht zur Diskussion steht, die amtliche Verteidigerin ihre Pflichten grob vernachlässigt hätte ( BGE 135 I 261 E. 1.2 mit Hinweisen auf die konstante, bereits unter dem altrechtlichen Art. 87 Abs. 2 OG geltende Praxis). Der Beschwerdeführer legt unter Verletzung seiner gesetzlichen Begründungspflicht nicht dar, weshalb ihm vorliegend aus dem Umstand, dass seine amtliche Verteidigerin ihr Amt weiterführt, ein nicht wiedergutzumachender Nachteil drohen könnte, und das ist auch nicht ersichtlich. Auf die Beschwerde ist nicht einzutreten, und zwar, da sowohl die Sach- und Rechtslage klar als auch der Begründungsmangel offensichtlich sind, im vereinfachten Verfahren.</w:t>
      </w:r>
    </w:p>
    <w:p>
      <w:r>
        <w:rPr>
          <w:b/>
        </w:rPr>
        <w:t>E. 2</w:t>
      </w:r>
    </w:p>
    <w:p>
      <w:r>
        <w:t>Bei diesem Ausgang des Verfahrens trägt der Beschwerdeführer die Kosten ( Art. 66 Abs. 1 BGG ). Er hat zwar ein Gesuch um unentgeltliche Rechtspflege und Verbeiständung gestellt, welches indessen abzuweisen ist, da die Beschwerde aussichtslos war ( Art. 64 Abs. 1 und 23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