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224/2013 vom 27. August 2013</w:t>
      </w:r>
    </w:p>
    <w:p>
      <w:r>
        <w:t>Bundesgericht, 2013-08-27, DE</w:t>
      </w:r>
    </w:p>
    <w:p>
      <w:r>
        <w:rPr>
          <w:b/>
        </w:rPr>
        <w:t xml:space="preserve">Quelle: </w:t>
      </w:r>
      <w:r>
        <w:t>https://mcp.opencaselaw.ch/entscheid/bger_1B_224_2013</w:t>
      </w:r>
    </w:p>
    <w:p>
      <w:r>
        <w:t>FR: TF 1B 224/2013 du 27 août 2013</w:t>
      </w:r>
    </w:p>
    <w:p>
      <w:r>
        <w:t>IT: TF 1B 224/2013 del 27 agosto 2013</w:t>
      </w:r>
    </w:p>
    <w:p>
      <w:pPr>
        <w:pStyle w:val="Heading2"/>
      </w:pPr>
      <w:r>
        <w:t>Regeste</w:t>
      </w:r>
    </w:p>
    <w:p>
      <w:r>
        <w:t>Strafverfahren; amtliche Verteidigung | Strafprozess</w:t>
      </w:r>
    </w:p>
    <w:p>
      <w:pPr>
        <w:pStyle w:val="Heading2"/>
      </w:pPr>
      <w:r>
        <w:t>Erwägungen</w:t>
      </w:r>
    </w:p>
    <w:p>
      <w:r>
        <w:rPr>
          <w:b/>
        </w:rPr>
        <w:t>E. 1</w:t>
      </w:r>
    </w:p>
    <w:p>
      <w:r>
        <w:t>Gegen den angefochtenen Entscheid steht die Beschwerde in Strafsachen nach Art. 78 ff. BGG offen. Zwar handelt es sich um einen Zwischenentscheid; da er aber einen nicht wieder gutzumachenden Nachteil bewirken kann, ist die Beschwerde gemäss Art. 93 Abs. 1 lit. a BGG zulässig. Der Beschwerdeführer ist als direkter Adressat und vom Entscheid in seinen Rechten unmittelbar Betroffener zur Beschwerde legitimiert ( Art. 89 Abs. 1 BGG ).</w:t>
      </w:r>
    </w:p>
    <w:p>
      <w:r>
        <w:rPr>
          <w:b/>
        </w:rPr>
        <w:t>E. 2.1</w:t>
      </w:r>
    </w:p>
    <w:p>
      <w:r>
        <w:t>Nach Art. 132 Abs. 1 lit. b StPO ordnet die Verfahrensleitung über die Fälle der notwendigen Verteidigung hinaus dann eine amtliche Verteidigung an, wenn die beschuldigte Person nicht über die erforderlichen Mittel verfügt und die Verteidigung zur Wahrung ihrer Interessen geboten ist (vgl. BGE 139 IV 113 E. 4.1).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eine Geldstrafe von mehr als 120 Tagessätzen oder gemeinnützige Arbeit von mehr als 480 Stunden zu erwarten ist ( Art. 132 Abs. 3 StPO ).</w:t>
      </w:r>
    </w:p>
    <w:p>
      <w:r>
        <w:rPr>
          <w:b/>
        </w:rPr>
        <w:t>E. 2.2</w:t>
      </w:r>
    </w:p>
    <w:p>
      <w:r>
        <w:t>Mit den gesetzlichen Bestimmungen von Art. 132 StPO wurde die bisherige bundesgerichtliche Rechtsprechung zu Art. 29 Abs. 3 BV und Art. 6 Ziff. 3 lit. c EMRK kodifiziert ( BGE 139 IV 113 E. 4.3; Urteil des Bundesgerichts 1B_448/2012 vom 17. Oktober 2012 E. 2.2; je mit Hinweisen). Wie sich aus dem Gesetzeswortlaut ("jedenfalls dann nicht") deutlich ergibt, sind die Nicht-Bagatellfälle (welche in der Bundesgerichtspraxis auch als "relativ schwer" bezeichnet werden) nicht auf die in Art. 132 Abs. 3 StPO beispielhaft genannten Fälle beschränkt. Bei der Prüfung, ob eine amtliche Verteidigung sachlich geboten ist, sind die konkreten Umstände des Einzelfalls zu berücksichtigen. Nach der bundesgerichtlichen Rechtsprechung kommt es bei der Frage, welche Sanktion der beschuldigten Person droht, nicht auf die abstrakte Strafobergrenze an, sondern auf die konkrete Sanktion, mit der die beschuldigte Person im Falle einer Anklageerhebung und Verurteilung zu rechnen hat. Eine bedürftige Partei hat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der betroffenen Person eingreift, ist die Bestellung eines unentgeltlichen Rechtsvertreters grundsätzlich geboten. Droht zwar ein erheblicher, nicht aber ein besonders schwerer Eingriff, müssen zur relativen Schwere des Eingriffs besondere tatsächliche oder rechtliche Schwierigkeiten hinzukommen, denen die betroffene Person - auf sich allein gestellt - nicht gewachsen wäre. Als besondere Schwierigkeiten, die eine Verbeiständung rechtfertigen können, fallen auch in der betroffenen Person liegende Gründe in Betracht, insbesondere deren Unfähigkeit, sich im Verfahren zurechtzufinden. Auch familiäre Interessenkonflikte oder mangelnde Schulbildung können massgebliche tatsächliche oder rechtliche Schwierigkeiten begründen (Urteil des Bundesgerichts 1B_170/2013 vom 30. Mai 2013 E. 4.3 mit vielen Hinweisen).</w:t>
      </w:r>
    </w:p>
    <w:p>
      <w:r>
        <w:rPr>
          <w:b/>
        </w:rPr>
        <w:t>E. 2.3</w:t>
      </w:r>
    </w:p>
    <w:p>
      <w:r>
        <w:t>Gemäss der bundesgerichtlichen Rechtsprechung kann überdies das Prinzip der Waffengleichheit die Beiordnung eines amtlichen Verteidigers erfordern. Dieser Grundsatz ist als formales Prinzip schon dann verletzt, wenn eine Partei bevorteilt wird; es ist nicht notwendig, dass die Gegenpartei dadurch tatsächlich einen Nachteil erleidet. Das Bundesgericht leitet daraus etwa ab, dass ein Angeklagter jedenfalls dann Anspruch auf amtliche Verteidigung hat, wenn auch der geschädigten Person im Strafverfahren ein amtlicher Rechtsvertreter beigeordnet wird (Urteil des Bundesgerichts 1P.14/2005 vom 28. Februar 2005 E. 3.4, publ. in: Pra 2006 Nr. 2 S. 9; VIKTOR LIEBER, in: Donatsch/Hansjakob/Lieber [Hrsg.], Kommentar zur Schweizerischen Strafprozessordnung [StPO], 2010, N. 15 zu Art. 132 StPO ). Die Lehre fordert in einem allgemeineren Sinne, dass die Waffengleichheit eine amtliche Verteidigung des Beschuldigten gebiete, wenn andere Verfahrensbeteiligte verbeiständet sind ( HARARI/ALIBERTI, in: Kuhn/Jeanneret [Hrsg.], Commentaire romand, Code de procédure pénale suisse, 2011, N. 64 zu Art. 132 StPO ; NIKLAUS RUCKSTUHL, in: Niggli/Heer/Wiprächtiger [Hrsg.], Basler Kommentar zur Schweizerischen Strafprozessordnung, 2011, N. 36 zu Art. 132 StPO ; NIKLAUS SCHMID, Schweizerische Strafprozessordnung, Praxiskommentar, 2009, N. 7 zu Art. 132 StPO ).</w:t>
      </w:r>
    </w:p>
    <w:p>
      <w:r>
        <w:rPr>
          <w:b/>
        </w:rPr>
        <w:t>E. 3.1</w:t>
      </w:r>
    </w:p>
    <w:p>
      <w:r>
        <w:t>Die Vorinstanz beurteilte den vorliegenden Fall weder als einen solchen der notwendigen Verteidigung noch als Bagatellfall, womit alle Verfahrensbeteiligten übereinstimmen. Es gibt keinen Anlass, von dieser Einschätzung abzuweichen. In tatsächlicher Hinsicht ist der Sachverhalt weitgehend erstellt und der Beschwerdeführer geständig. Er sieht darin allerdings offenbar kaum eine strafrechtliche Relevanz. In rechtlicher Hinsicht erscheint der vorliegende Fall denn auch nicht ohne Weiteres eindeutig. Im angefochtenen Entscheid wird jedenfalls nicht konkret ausgeführt, unter welche Strafnormen die Staatsanwaltschaft das Verhalten des Beschwerdeführers subsumiert. Angesichts der dafür bestehenden Möglichkeiten muss dieser aber ohnehin mit einer nicht unbedeutenden Strafe rechnen. Ob das für sich allein bereits für eine amtliche Verbeiständung genügen würde, kann offen bleiben. Hinzu kommt nämlich, dass die als Geschädigte am Strafverfahren beteiligte ehemalige Partnerin anwaltlich vertreten ist. Der nicht fachkundige und offenbar aus eher einfachen Verhältnissen stammende Beschwerdeführer steht daher nicht nur der fachlich ausgewiesenen Staatsanwaltschaft, sondern auch einer anwaltlich vertretenen Privatpartei gegenüber. Angesichts der bestehenden rechtlichen Unklarheiten erweist sich daher die Beiordnung eines amtlichen Anwalts aus Gründen der Waffengleichheit als geboten.</w:t>
      </w:r>
    </w:p>
    <w:p>
      <w:r>
        <w:rPr>
          <w:b/>
        </w:rPr>
        <w:t>E. 3.2</w:t>
      </w:r>
    </w:p>
    <w:p>
      <w:r>
        <w:t>Der Beschwerdeführer hat Anspruch auf amtliche Verteidigung, sofern er nicht über genügend Mittel verfügt, seine Verteidigung selber zu finanzieren ( Art. 132 Abs. 1 lit. b StPO ). Obwohl das Obergericht im Kostenpunkt von bescheidenen finanziellen Verhältnissen aufseiten des Beschwerdeführers ausging, haben die Vorinstanzen dies nicht abschliessend abgeklärt. Es ist nicht Aufgabe des Bundesgerichts, das als erste Instanz zu tun. Die Sache ist daher an die Oberstaatsanwaltschaft zurückzuweisen, die das Gesuch des Beschwerdeführers um amtliche Verteidigung unter Berücksichtigung der bundesgerichtlichen Erwägungen neu zu prüfen haben wird.</w:t>
      </w:r>
    </w:p>
    <w:p>
      <w:r>
        <w:rPr>
          <w:b/>
        </w:rPr>
        <w:t>E. 4</w:t>
      </w:r>
    </w:p>
    <w:p>
      <w:r>
        <w:t>Die Beschwerde ist somit gutzuheissen, der angefochtene Entscheid des Obergerichts aufzuheben und die Sache an die Oberstaatsanwaltschaft zu neuem Entscheid zurückzuweisen. Bei diesem Ausgang des Verfahrens sind keine Kosten zu erheben ( Art. 66 Abs. 4 BGG ). Hingegen hat der Kanton Zürich dem Beschwerdeführer für das bundesgerichtliche Verfahren eine angemessene Parteientschädigung auszurichten ( Art. 68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