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222/2023 vom 12. Mai 2023</w:t>
      </w:r>
    </w:p>
    <w:p>
      <w:r>
        <w:t>Bundesgericht, 2023-05-12, DE</w:t>
      </w:r>
    </w:p>
    <w:p>
      <w:r>
        <w:rPr>
          <w:b/>
        </w:rPr>
        <w:t xml:space="preserve">Quelle: </w:t>
      </w:r>
      <w:r>
        <w:t>https://mcp.opencaselaw.ch/entscheid/bger_1B_222_2023</w:t>
      </w:r>
    </w:p>
    <w:p>
      <w:r>
        <w:t>FR: TF 1B 222/2023 du 12 mai 2023</w:t>
      </w:r>
    </w:p>
    <w:p>
      <w:r>
        <w:t>IT: TF 1B 222/2023 del 12 maggio 2023</w:t>
      </w:r>
    </w:p>
    <w:p>
      <w:pPr>
        <w:pStyle w:val="Heading2"/>
      </w:pPr>
      <w:r>
        <w:t>Regeste</w:t>
      </w:r>
    </w:p>
    <w:p>
      <w:r>
        <w:t>Strafverfahren; Beschlagnahme | Strafprozess</w:t>
      </w:r>
    </w:p>
    <w:p>
      <w:pPr>
        <w:pStyle w:val="Heading2"/>
      </w:pPr>
      <w:r>
        <w:t>Erwägungen</w:t>
      </w:r>
    </w:p>
    <w:p>
      <w:r>
        <w:rPr>
          <w:b/>
        </w:rPr>
        <w:t>E. 1</w:t>
      </w:r>
    </w:p>
    <w:p>
      <w:r>
        <w:t>Die 1. Abteilung der Staatsanwaltschaft des Kantons Schwyz führt ein Strafverfahren gegen A.________ wegen sexuellen Handlungen mit Kindern, sexueller Nötigung und Pornografie. Mit Verfügung vom 19. April 2023 stellte die Staatsanwaltschaft den Parteien in Aussicht, dass sie Anklage erheben will und setzte ihnen Frist, um Beweisanträge zu stellen. Gleichentags ordnete die Staatsanwaltschaft mit einer weiteren Verfügung die Beschlagnahmung der am 8. August 2022 sichergestellten Gegenstände (T-Shirt, Trainerhose, Mobiltelefon Samsung Galaxy J3) des Beschwerdeführers an.</w:t>
      </w:r>
    </w:p>
    <w:p>
      <w:r>
        <w:rPr>
          <w:b/>
        </w:rPr>
        <w:t>E. 2</w:t>
      </w:r>
    </w:p>
    <w:p>
      <w:r>
        <w:t>Mit Eingaben vom 25. April 2023 und 27. April 2023 führt A.________ gegen beide Verfügungen der Staatsanwaltschaft vom 19. April 2023 Beschwerde in Strafsachen. Das Bundesgericht verzichtet auf die Einholung von Vernehmlassungen.</w:t>
      </w:r>
    </w:p>
    <w:p>
      <w:r>
        <w:rPr>
          <w:b/>
        </w:rPr>
        <w:t>E. 3</w:t>
      </w:r>
    </w:p>
    <w:p>
      <w:r>
        <w:t>Verfügungen, mit welchen die Staatsanwaltschaft die Parteien darüber informiert, dass sie Anklage erheben will und ihnen Frist für die Stellung von Beweisanträgen setzt, sind nach Art. 318 Abs. 1 i.V.m. Abs. 3 StPO nicht anfechtbar. Die vorliegende Beschwerde in Strafsachen erweist sich demzufolge als unzulässig, soweit sie sich gegen die entsprechende verfahrensleitende Verfügung der Staatsanwaltschaft vom 19. April 2023 richtet.</w:t>
      </w:r>
    </w:p>
    <w:p>
      <w:r>
        <w:rPr>
          <w:b/>
        </w:rPr>
        <w:t>E. 4</w:t>
      </w:r>
    </w:p>
    <w:p>
      <w:r>
        <w:t>Die zusätzlich angefochtene Beschlagnahmeverfügung der Staatsanwaltschaft vom 19. April 2023 betrifft zwar eine Strafsache ( Art. 78 Abs. 1 BGG ). Es handelt sich allerdings nicht um einen kantonal letztinstanzlichen Entscheid im Sinne von Art. 80 Abs. 1 BGG . Vielmehr ist sie zunächst mit Beschwerde nach Art. 393 ff. StPO beim Kantonsgericht des Kantons Schwyz anfechtbar (vgl. angefochtene Verfügung, Rechtsmittelbelehrung). Mangels Erschöpfung des kantonalen Instanzenzugs erweist sich die Beschwerde damit auch insoweit als unzulässig. Gestützt auf Art. 30 Abs. 2 BGG ist die Sache jedoch zuständigkeitshalber an das Kantonsgericht Schwyz zu überweisen.</w:t>
      </w:r>
    </w:p>
    <w:p>
      <w:r>
        <w:rPr>
          <w:b/>
        </w:rPr>
        <w:t>E. 5</w:t>
      </w:r>
    </w:p>
    <w:p>
      <w:r>
        <w:t>Die Beschwerde erweist sich aus den genannten Gründen als offensichtlich unzulässig und ist auf sie daher im vereinfachten Verfahren nach Art. 108 BGG nicht einzutreten. Auf die Auferlegung von Gerichtskosten kann ausnahmsweise verzichtet werden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