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1B_222/2020 vom 25. Mai 2020</w:t>
      </w:r>
    </w:p>
    <w:p>
      <w:r>
        <w:t>Bundesgericht, 2020-05-25, DE</w:t>
      </w:r>
    </w:p>
    <w:p>
      <w:r>
        <w:rPr>
          <w:b/>
        </w:rPr>
        <w:t xml:space="preserve">Quelle: </w:t>
      </w:r>
      <w:r>
        <w:t>https://mcp.opencaselaw.ch/entscheid/bger_1B_222_2020</w:t>
      </w:r>
    </w:p>
    <w:p>
      <w:r>
        <w:t>FR: TF 1B_222/2020 du 25 mai 2020</w:t>
      </w:r>
    </w:p>
    <w:p>
      <w:r>
        <w:t>IT: TF 1B_222/2020 del 25 maggio 2020</w:t>
      </w:r>
    </w:p>
    <w:p>
      <w:pPr>
        <w:pStyle w:val="Heading2"/>
      </w:pPr>
      <w:r>
        <w:t>Erwägungen</w:t>
      </w:r>
    </w:p>
    <w:p>
      <w:r>
        <w:rPr>
          <w:b/>
        </w:rPr>
        <w:t>E. 1</w:t>
      </w:r>
    </w:p>
    <w:p>
      <w:r>
        <w:t>Das Untersuchungsamt Gossau führt gegen A.________ ein Strafverfahren wegen Vermögensdelikten. Aufgrund einer Strafanzeige von A.________ wegen falscher Anschuldigung, übler Nachrede etc. ist ein weiteres Verfahren hängig gegen die Personen, die A.________ wegen Vermögensdelikten angezeigt haben. Am 6. Januar 2020 sistierte das Untersuchungsamt das von A.________ angestrengte Strafverfahren.</w:t>
      </w:r>
    </w:p>
    <w:p>
      <w:r>
        <w:t>Am 1. April 2020 wies die Anklagekammer des Kantons St. Gallen die Beschwerde von A.________ gegen die Sistierungsverfügung ab.</w:t>
      </w:r>
    </w:p>
    <w:p>
      <w:r>
        <w:t>Mit Beschwerde vom 6. Mai 2020 beantragt A.________ sinngemäss, die Sistierung aufzuheben.</w:t>
      </w:r>
    </w:p>
    <w:p>
      <w:r>
        <w:t>Vernehmlassungen wurden keine eingeholt.</w:t>
      </w:r>
    </w:p>
    <w:p>
      <w:r>
        <w:rPr>
          <w:b/>
        </w:rPr>
        <w:t>E. 2</w:t>
      </w:r>
    </w:p>
    <w:p>
      <w:r>
        <w:t>Angefochten ist ein kantonal letztinstanzlicher Entscheid, mit dem die Anklagekammer eine Verfahrenssistierung schützte;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wiedergutzumachende Nachteil ergeben soll, sofern dies nicht offensichtlich ist ( BGE 138 III 46 E. 1.2 S. 47; zum Ganzen: BGE 141 IV 284 E. 2.3 S. 287; 289 E. 1.3 S. 292).</w:t>
      </w:r>
    </w:p>
    <w:p>
      <w:r>
        <w:t>Die Beschwerdeführerin legt nicht dar, inwiefern ihr durch die Sistierung ein nicht wieder gutzumachender Nachteil rechtlicher Natur erwachsen könnte, und das ist auch nicht ersichtlich. Sie behauptet in diesem Zusammenhang bloss, durch die Sistierung entstünden ihr "extreme Verluste". Verluste sind indessen faktische, nicht rechtliche Nachteile. Es ist zudem weder dargetan noch ersichtlich, inwiefern überhaupt hohe Kosten anfallen, die bei einem für die Beschwerdeführerin günstigen Verfahrensausgang nicht wiedergutgemacht werden könnten.</w:t>
      </w:r>
    </w:p>
    <w:p>
      <w:r>
        <w:t>Auf die Beschwerde ist somit nicht einzutreten, weil nicht dargetan ist, dass der angefochtene Zwischenentscheid einen nicht wiedergutzumachenden Nachteil im Sinn von Art. 93 Abs. 1 lit. a BGG bewirken kann.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