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1B_222/2008 vom 27. August 2008</w:t>
      </w:r>
    </w:p>
    <w:p>
      <w:r>
        <w:t>Bundesgericht, 2008-08-27, FR</w:t>
      </w:r>
    </w:p>
    <w:p>
      <w:r>
        <w:rPr>
          <w:b/>
        </w:rPr>
        <w:t xml:space="preserve">Quelle: </w:t>
      </w:r>
      <w:r>
        <w:t>https://mcp.opencaselaw.ch/entscheid/bger_1B_222_2008</w:t>
      </w:r>
    </w:p>
    <w:p>
      <w:r>
        <w:t>FR: TF 1B_222/2008 du 27 août 2008</w:t>
      </w:r>
    </w:p>
    <w:p>
      <w:r>
        <w:t>IT: TF 1B_222/2008 del 27 agosto 2008</w:t>
      </w:r>
    </w:p>
    <w:p>
      <w:pPr>
        <w:pStyle w:val="Heading2"/>
      </w:pPr>
      <w:r>
        <w:t>Erwägungen</w:t>
      </w:r>
    </w:p>
    <w:p>
      <w:r>
        <w:rPr>
          <w:b/>
        </w:rPr>
        <w:t>E. 1</w:t>
      </w:r>
    </w:p>
    <w:p>
      <w:r>
        <w:t>Les décisions relatives au maintien en détention préventive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 art. 34 CPP /GE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125 I 60 consid. 3a p. 62;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pour une définition de l'arbitraire, cf. art. 9 Cst. et ATF 133 I 149 consid. 3.1 p. 153; 132 I 13 consid. 5.1 p. 17; 131 I 217 consid. 2.1 p. 219; 129 I 8 consid. 2.1 p. 9). L'autorité cantonale dispose ainsi d'une grande liberté dans l'appréciation des faits ( ATF 114 Ia 283 consid. 3; 112 Ia 162 consid. 3b).</w:t>
      </w:r>
    </w:p>
    <w:p>
      <w:r>
        <w:rPr>
          <w:b/>
        </w:rPr>
        <w:t>E. 3</w:t>
      </w:r>
    </w:p>
    <w:p>
      <w:r>
        <w:t>Dans un premier grief, le recourant se plaint d'une violation de la présomption d'innocence. Selon lui, l'ordonnance attaquée « reflète le sentiment qu'il est coupable », alors que sa culpabilité n'a pas été établie et qu'il n'a pas pu se défendre dans un procès public. Il se plaint à cet égard d'arbitraire dans la constatation des faits.</w:t>
      </w:r>
    </w:p>
    <w:p>
      <w:r>
        <w:rPr>
          <w:b/>
        </w:rPr>
        <w:t>E. 3.1</w:t>
      </w:r>
    </w:p>
    <w:p>
      <w:r>
        <w:t>La présomption d'innocence, garantie aux art. 6 par. 2 CEDH et 32 al. 1 Cst., empêche le juge de la détention de désigner une personne comme coupable, sans réserve et sans nuance, en préjugeant de l'appréciation des faits par le juge du fond ( ATF 124 I 327 consid. 3c p. 331 s. et les références citées). Elle ne signifie en revanche pas qu'une détention préventive doive se fonder sur des faits clairement établis; des indices sont suffisants pour autant qu'ils reposent sur des faits concrets et précis (cf. art. 5 par. 1 let . c CEDH; ATF 107 Ia 138 consid. 4c p. 142; Jacques Velu/Rusen Ergec, La Convention européenne des droits de l'homme, Bruxelles 1990, n. 572 s., p. 477 s.; Jochen Frowein/Wolfgang Peukert, EMRK-Kommentar, 2ème éd., Kehl, Strasbourg, Arlington, 1996, n. 170 s. p. 291 s.; Arthur Haefliger/Frank Schürmann, Die Europäische Menschenrechtskonvention und die Schweiz, 2ème éd., Berne 1999, p. 209 et les arrêts cités). De plus,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w:t>
      </w:r>
    </w:p>
    <w:p>
      <w:r>
        <w:rPr>
          <w:b/>
        </w:rPr>
        <w:t>E. 3.2</w:t>
      </w:r>
    </w:p>
    <w:p>
      <w:r>
        <w:t>En l'occurrence, s'il est vrai que les charges reposent essentiellement sur les déclarations de Y.________, la Chambre d'accusation n'avait pas de raisons sérieuses de leur dénier toute crédibilité. Les lésions corporelles ressortent en effet de diverses attestations médicales et le témoignage de A.________, qui était présent dans l'appartement du couple au matin du 21 mars 2008, corrobore en partie le récit de la prénommée. En effet, ce témoin a déclaré que l'intéressé s'était enfermé dans une chambre avec son épouse et que celle-ci avait appelé à l'aide à plusieurs reprises. Quant au recourant, il se borne pour l'essentiel à nier les faits. Dans ces conditions, il y a lieu de constater avec l'autorité intimée qu'il existe des indices de culpabilité suffisants, étant rappelé qu'il n'appartenait pas au juge de la détention de procéder à une pesée complète des éléments à charge et à décharge. Sur le vu de ce qui précède, les faits retenus par l'autorité intimée n'ont pas été établis d'une façon qui puisse être qualifiée d'arbitraire. Pour le surplus, la considération selon laquelle le recourant risque une peine sévère si sa culpabilité est reconnue ne fait en aucune manière ressortir que la Chambre d'accusation aurait préjugé du fond, en tenant d'ores et déjà le recourant pour coupable des faits qui lui sont imputés, même si un passage de la décision attaquée (premier considérant, page 1) est maladroitement rédigé. On ne discerne ainsi aucune violation du principe de la présomption d'innocence, de sorte que ce premier moyen doit être rejeté.</w:t>
      </w:r>
    </w:p>
    <w:p>
      <w:r>
        <w:rPr>
          <w:b/>
        </w:rPr>
        <w:t>E. 4</w:t>
      </w:r>
    </w:p>
    <w:p>
      <w:r>
        <w:t>Le recourant conteste également l'existence d'un risque de fuite. Il allègue qu'il n'a pas cherché à s'enfuir avant son interpellation, qu'il n'a pas d'antécédents, qu'il est au bénéfice de l'assurance-chômage, qu'il vit en Suisse depuis cinq ans et qu'il y est marié.</w:t>
      </w:r>
    </w:p>
    <w:p>
      <w:r>
        <w:rPr>
          <w:b/>
        </w:rPr>
        <w:t>E. 4.1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Le fait que l'extradition du prévenu puisse être obtenue n'est pas déterminant ( ATF 123 I 31 consid. 3d p. 36 s.).</w:t>
      </w:r>
    </w:p>
    <w:p>
      <w:r>
        <w:rPr>
          <w:b/>
        </w:rPr>
        <w:t>E. 4.2</w:t>
      </w:r>
    </w:p>
    <w:p>
      <w:r>
        <w:t>En l'espèce, le recourant a certes vécu en Suisse depuis 2003, mais il n'en demeure pas moins qu'il est de nationalité marocaine et qu'il a toujours vécu au Maroc jusqu'à son mariage avec Y.________. De plus, sa famille vit au Maroc, à l'exception d'une soeur qui habiterait Lausanne. Compte tenu des circonstances ayant conduit à l'arrestation du recourant, le fait que son épouse vive en Suisse n'apparaît pas déterminant pour le retenir de quitter le pays. Pour le surplus, il ne fait pas valoir d'attaches particulières en Suisse, où il n'a notamment pas d'emploi stable. A cet égard, la seule perspective de bénéficier de l'assurance-chômage ne constitue pas un lien suffisant. Le fait que l'intéressé n'ait pas cherché à fuir n'est pas non plus déterminant. En effet, le recourant a été arrêté peu de temps après les faits, alors qu'il venait de passer une nuit blanche et qu'il était sous l'influence de l'alcool et de la cocaïne, ce qui a pu altérer son appréciation de la situation. Quant à l'absence d'antécédents, il ne s'agit pas en soi d'un élément pertinent dans l'évaluation du risque de fuite. Enfin, le recourant a été renvoyé en jugement devant la Cour correctionnelle du canton de Genève et l'on peut de craindre que la peine encourue ne l'amène à se soustraire à la procédure. Ainsi, compte tenu de l'ensemble de ces éléments, il y a lieu de considérer que le maintien en détention du recourant est justifié par un risque de fuite.</w:t>
      </w:r>
    </w:p>
    <w:p>
      <w:r>
        <w:rPr>
          <w:b/>
        </w:rPr>
        <w:t>E. 5</w:t>
      </w:r>
    </w:p>
    <w:p>
      <w:r>
        <w:t>Le recourant allègue encore que le risque de fuite aurait pu être contenu par des mesures moins incisives que la détention, à savoir la saisie de ses documents d'identité, un contrôle judiciaire ou une libération sous caution.</w:t>
      </w:r>
    </w:p>
    <w:p>
      <w:r>
        <w:rPr>
          <w:b/>
        </w:rPr>
        <w:t>E. 5.1</w:t>
      </w:r>
    </w:p>
    <w:p>
      <w:r>
        <w:t>Conformément au principe de la proportionnalité ( art. 36 al. 3 Cst. ), lorsque le maintien en détention est motivé uniquement par le risque de fuite, il convient en principe d'examiner les possibilités de mettre en oeuvre d'autres solutions moins dommageables que la détention (règle de la nécessité; ATF 130 II 425 consid. 5.2 p. 438; 126 I 219 consid. 2c p. 222 et les arrêts cités). Cette exigence découle également de l'art. 5 par. 3, dernière phrase, CEDH, à teneur duquel la mise en liberté peut être subordonnée à une garantie assurant la comparution de l'inculpé à l'audience. La mise en liberté sous caution ou moyennant le versement de sûretés constitue un succédané de la détention préventive et une application du principe de la proportionnalité ( ATF 107 Ia 206 consid. 2a p. 208). Lorsque cela est possible, elle doit donc remplacer la détention, qui ne peut être maintenue qu'en tant qu'ultima ratio (cf. ATF 123 I 268 consid. 2c p. 271).</w:t>
      </w:r>
    </w:p>
    <w:p>
      <w:r>
        <w:t>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w:t>
      </w:r>
    </w:p>
    <w:p>
      <w:r>
        <w:rPr>
          <w:b/>
        </w:rPr>
        <w:t>E. 5.2</w:t>
      </w:r>
    </w:p>
    <w:p>
      <w:r>
        <w:t>A l'appui de sa requête de mise en liberté, le recourant n'avait pas proposé de se soumettre aux mesures alternatives à la détention qu'il évoque dans son recours. En particulier, il n'avait pas proposé le versement d'une caution ou de sûretés et il n'avait donné aucun élément pertinent - il affirmait uniquement être au bénéfice de l'assurance-chômage - permettant à l'autorité d'apprécier sa situation et celle des personnes qui pourraient lui servir de caution. Il est donc malvenu de reprocher à la Chambre d'accusation de n'avoir pas procédé à une « analyse approfondie » de sa situation. Compte tenu des éléments figurant au dossier, le montant de 15'000 fr. fixé d'office par l'autorité n'apparaît pas manifestement exagéré. Si le recourant entendait proposer un autre montant, il lui appartenait de présenter les éléments pertinents devant le juge de la détention. Quant aux autres mesures évoquées par l'intéressé, elles apparaissent clairement insuffisantes au regard de l'intensité du risque de fuite. En effet, sur le vu de la peine encourue et du défaut d'attaches en Suisse, la saisie des papiers d'identité ou l'obligation de se présenter régulièrement à un poste de police n'empêchent pas une personne dans la situation du recourant de disparaître dans la clandestinité ou de s'enfuir à l'étranger.</w:t>
      </w:r>
    </w:p>
    <w:p>
      <w:r>
        <w:rPr>
          <w:b/>
        </w:rPr>
        <w:t>E. 6</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Manuel Bolivar en qualité d'avocat d'office. Il y a lieu de faire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