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1B_21/2019 vom 28. März 2019</w:t>
      </w:r>
    </w:p>
    <w:p>
      <w:r>
        <w:t>Bundesgericht, 2019-03-28, FR</w:t>
      </w:r>
    </w:p>
    <w:p>
      <w:r>
        <w:rPr>
          <w:b/>
        </w:rPr>
        <w:t xml:space="preserve">Quelle: </w:t>
      </w:r>
      <w:r>
        <w:t>https://mcp.opencaselaw.ch/entscheid/bger_1B_21_2019</w:t>
      </w:r>
    </w:p>
    <w:p>
      <w:r>
        <w:t>FR: TF 1B_21/2019 du 28 mars 2019</w:t>
      </w:r>
    </w:p>
    <w:p>
      <w:r>
        <w:t>IT: TF 1B_21/2019 del 28 marzo 2019</w:t>
      </w:r>
    </w:p>
    <w:p>
      <w:pPr>
        <w:pStyle w:val="Heading2"/>
      </w:pPr>
      <w:r>
        <w:t>Erwägungen</w:t>
      </w:r>
    </w:p>
    <w:p>
      <w:r>
        <w:rPr>
          <w:b/>
        </w:rPr>
        <w:t>E. 1</w:t>
      </w:r>
    </w:p>
    <w:p>
      <w:r>
        <w:t>La voie du recours en matière pénale prévue aux art. 78 ss LTF est ouverte contre l'ordonnance rendue le 10 décembre 2018 par le Président de la Chambre pénale. Le point, contesté, de savoir si cette décision peut avoir des effets sur le jugement des prétentions civiles de la recourante et si celle-ci peut se prévaloir d'un intérêt juridique à son annulation au sens de l'art. 81 al. 1 let. b ch. 5 LTF peut demeurer indécis dans la mesure où le recours est de toute manière irrecevable.</w:t>
      </w:r>
    </w:p>
    <w:p>
      <w:r>
        <w:rPr>
          <w:b/>
        </w:rPr>
        <w:t>E. 1.1</w:t>
      </w:r>
    </w:p>
    <w:p>
      <w:r>
        <w:t>La décision attaquée, qui confirme la suspension de la procédure pénale prononcée par le Ministère public, revêt un caractère incident. S'agissant d'une décision qui n'entre pas dans le champ d'application de l' art. 92 LTF ,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l'occurrence. Le préjudice irréparable au sens de l' art. 93 al. 1 let. a LTF se rapporte, en matière pénale, à un dommage de nature juridique qui ne puisse pas être réparé ultérieurement par un jugement final ou une autre décision favorable à la partie recourante ( ATF 144 IV 127 consid. 1.3.1 p. 130).</w:t>
      </w:r>
    </w:p>
    <w:p>
      <w:r>
        <w:t>Selon la jurisprudence, une décision de suspension peut causer un dommage irréparable au justiciable qui se plaint d'un retard injustifié à instruire et à statuer sur le fond. Il faut toutefois que le grief soit suffisamment motivé et fasse apparaître un risque sérieux de violation du principe de célérité. Ainsi, lorsque la suspension critiquée intervient à un stade de la procédure où il apparaît évident que ce principe n'est pas violé ou lorsque la partie recourante ne démontre pas qu'un tel risque apparaîtra nécessairement à terme, la jurisprudence s'en tient aux exigences de l' art. 93 al. 1 let. a LTF ( ATF 143 IV 175 consid. 2.3 p. 177 et les arrêts cités).</w:t>
      </w:r>
    </w:p>
    <w:p>
      <w:r>
        <w:rPr>
          <w:b/>
        </w:rPr>
        <w:t>E. 1.2</w:t>
      </w:r>
    </w:p>
    <w:p>
      <w:r>
        <w:t>A réception de la plainte de la recourante, l'Office régional du Ministère public du Valais central a ouvert une enquête pénale et a mandaté la Police cantonale valaisanne aux fins de procéder aux investigations nécessaires. Après avoir pris connaissance du rapport de dénonciation établi par la police et des procès-verbaux d'audition des parties joints en annexe, il a informé celles-ci de la prochaine clôture de l'instruction et les a invitées à produire leurs réquisitions de preuves. Tant la recourante que l'intimé ont sollicité plusieurs mesures d'instruction complémentaire. Le Ministère public a donné suite aux requêtes d'audition de témoins en citant à comparaître le médecin traitant de B.________ et la gérante de D.________ qui aurait recouru aux services du prévenu pour des travaux sanitaires dans son établissement. Il est vrai que plus aucune mesure d'instruction n'a été ordonnée à la suite de l'audition du Dr C.________ jusqu'à ce que le Procureur ne rende son ordonnance de suspension querellée. Sous cette réserve, on ne discerne de la part du Ministère public aucun retard dans l'instruction de la plainte qui pourrait prêter flanc à la critique au regard de l' art. 5 al. 1 CPP . Le recourant ne le prétend d'ailleurs pas. On ne saurait en outre affirmer que l'instruction pénale est achevée et que la cause serait en état d'être renvoyée en jugement puisque des mesures d'instruction complémentaires ont été requises au sujet desquelles le Procureur n'a pas pris position. Il importe peu à cet égard qu'il ait envisagé dans un premier temps de renvoyer le prévenu en jugement à réception du rapport de dénonciation.</w:t>
      </w:r>
    </w:p>
    <w:p>
      <w:r>
        <w:t>La suspension est prononcée non pas sine die, mais dans l'attente d'une décision dans la cause civile diligentée par le Juge des districts d'Hérens et de Conthey à la suite de l'action en libération de dette introduite devant cette juridiction par l'intimé le 10 novembre 2016. Les simples conjectures avancées par la recourante concernant la durée de l'instruction devant cette autorité ne suffisent pas pour considérer que cette procédure ne pourrait pas être menée à terme dans un délai raisonnable. Au demeurant, on ne se trouve pas dans un cas où la reprise de la procédure pénale dépend de l'issue d'une procédure sur laquelle la recourante n'a aucune prise. A.________ SA est partie à la procédure civile et dispose ainsi de moyens de la faire avancer. En l'état actuel, elle ne démontre pas qu'il y aurait violation du principe de célérité dans la procédure pénale. Si tel devait être ultérieurement le cas, compte tenu de l'évolution de la procédure civile, elle pourrait encore saisir le Procureur d'une demande de reprise de la procédure pénale. Une violation du principe de célérité ne saurait non plus être retenue à ce jour eu égard à un risque d'acquisition de la prescription de l'action pénale, que ce soit en relation avec les violations alléguées de la loi fédérale contre la concurrence déloyale ou avec les infractions d'escroquerie et de faux dans les titres (cf. art. 3 al. 1 let . f, 4 let. a et 23 LCD et art. 146 al. 1 et 251 ch. 1 CP en lien avec les art. 97 al. 1 let. b et c et 98 CP).</w:t>
      </w:r>
    </w:p>
    <w:p>
      <w:r>
        <w:t>En conséquence, faute de violation évidente ou démontrée du principe de célérité, il faut s'en tenir aux exigences de l' art. 93 al. 1 let. a LTF et rechercher si la décision attaquée est susceptible de causer à la recourante un préjudice irréparable, qu'il lui incombe de démontrer lorsque celui-ci n'est pas d'emblée évident ( ATF 141 IV 284 consid. 2.3 p. 287).</w:t>
      </w:r>
    </w:p>
    <w:p>
      <w:r>
        <w:t>La recourante ne développe aucune argumentation spécifique sur ce point. Comme on l'a vu, il n'y a pas en l'état de risque de prescription de l'action pénale. Quant au danger d'altération ou de disparition de moyens de preuves, il n'est ni allégué ni manifeste. On ne voit pas davantage quel préjudice de nature juridique la recourante pourrait subir si, comme elle l'affirme, l'intimé devait, en cas de condamnation et en raison de la suspension de procédure, bénéficier d'une réduction de peine en raison de la longueur de la procédure pénale ou de l'écoulement du temps survenu depuis la commission de l'infraction, une telle réduction n'ayant aucune influence sur le sort des prétentions civiles qu'elle entend faire valoir (cf. art. 382 al. 2 CPP ; Message du Conseil fédéral relatif à l'unification du droit de la procédure pénale du 21 décembre 2005 FF 2006 p. 1292).</w:t>
      </w:r>
    </w:p>
    <w:p>
      <w:r>
        <w:t>Il s'ensuit que l'ordonnance attaquée ne peut pas faire l'objet d'un recours immédiat auprès du Tribunal fédéral. Il n'y a donc pas lieu d'entrer en matière et d'examiner si le jugement civil était de nature à apporter des précisions utiles sur la violation des dispositions pénales de la loi fédérale contre la concurrence déloyale et si la suspension de la procédure était de ce fait justifiée.</w:t>
      </w:r>
    </w:p>
    <w:p>
      <w:r>
        <w:rPr>
          <w:b/>
        </w:rPr>
        <w:t>E. 2</w:t>
      </w:r>
    </w:p>
    <w:p>
      <w:r>
        <w:t>Le recours doit par conséquent être déclaré irrecevable aux frais de la recourante qui succombe ( art. 65 et 66 al. 1 LTF ). Cette dernière versera une indemnité de dépens à l'intimé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