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1B_21/2015 vom 1. Juli 2015</w:t>
      </w:r>
    </w:p>
    <w:p>
      <w:r>
        <w:t>Bundesgericht, 2015-07-01, DE</w:t>
      </w:r>
    </w:p>
    <w:p>
      <w:r>
        <w:rPr>
          <w:b/>
        </w:rPr>
        <w:t xml:space="preserve">Quelle: </w:t>
      </w:r>
      <w:r>
        <w:t>https://mcp.opencaselaw.ch/entscheid/bger_1B_21_2015</w:t>
      </w:r>
    </w:p>
    <w:p>
      <w:r>
        <w:t>FR: TF 1B_21/2015 du 1 juillet 2015</w:t>
      </w:r>
    </w:p>
    <w:p>
      <w:r>
        <w:t>IT: TF 1B_21/2015 del 1 luglio 2015</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gemäss Art. 93 BGG dar. Ein solcher ist unter anderem anfechtbar, wenn er einen nicht wieder gutzumachenden Nachteil bewirken kann (Abs. 1 lit. a). Nach der Rechtsprechung muss die Voraussetzung des nicht wieder gutzumachenden Nachteils nicht erfüllt sein, soweit der Beschwerdeführer - wie hier - rügt, die Sistierung des Strafverfahrens verletze das Beschleunigungsgebot ( BGE 134 IV 43 ). Der vorinstanzliche Entscheid ist somit anfechtbar (Urteil 1B_421/2012 vom 19. Juni 2013 E. 1.2).</w:t>
      </w:r>
    </w:p>
    <w:p>
      <w:r>
        <w:t>Die weiteren Sachurteilsvoraussetzungen geben zu keinen Bemerkungen Anlass.</w:t>
      </w:r>
    </w:p>
    <w:p>
      <w:r>
        <w:rPr>
          <w:b/>
        </w:rPr>
        <w:t>E. 2.1</w:t>
      </w:r>
    </w:p>
    <w:p>
      <w:r>
        <w:t>Gemäss Art. 314 Abs. 1 lit. b StPO kann die Staatsanwaltschaft eine Untersuchung sistieren, wenn der Ausgang des Strafverfahrens von einem anderen Verfahren abhängt und es angebracht erscheint, dessen Ausgang abzuwarten.</w:t>
      </w:r>
    </w:p>
    <w:p>
      <w:r>
        <w:t>Beim anderen Verfahren kann es sich insbesondere um ein Zivilverfahren handeln. Art. 314 Abs. 1 lit. b StPO stellt eine Kann-Bestimmung dar. Wie sich auch aus dem darin enthaltenen Passus "angebracht erscheint" ergibt, räumt sie der Staatsanwaltschaft einen Ermessensspielraum ein (Urteil 1B_421/2012 vom 19. Juni 2013 E. 2.1; PIERRE CORNU, in: Code de procédure pénale suisse, Commentaire Romand, 2011, N. 13 zu Art. 314 StPO ).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(Urteile 1B_421/2012 vom 19. Juni 2013 E. 2.1; 1B_721/2011 vom 7. März 2012 E. 3.1; je mit Hinweisen).</w:t>
      </w:r>
    </w:p>
    <w:p>
      <w:r>
        <w:rPr>
          <w:b/>
        </w:rPr>
        <w:t>E. 2.2</w:t>
      </w:r>
    </w:p>
    <w:p>
      <w:r>
        <w:t>Kläger im Zivilprozess vor dem Bezirksgericht Baden ist ein Gründer und Aktionär der C.________ Ltd. Beklagte sind die zwei einzigen Verwaltungsräte der Anzeigeerstatterin. Streitgegenstand des Zivilprozesses ist insbesondere die Frage, ob zwischen der Anzeigeerstatterin und der C.________ Ltd. ein Konkurrenzverhältnis bestand.</w:t>
      </w:r>
    </w:p>
    <w:p>
      <w:r>
        <w:t>Im Strafverfahren gegen den Beschwerdeführer - der zunächst Angestellter der Anzeigeerstatterin war und dann zur C.________ Ltd. wechselte - ist die Frage, ob zwischen der Anzeigeerstatterin und der C.________ Ltd. ein Konkurrenzverhältnis bestand, ebenfalls von grundlegender Bedeutung. Fehlte es an einem Konkurrenzverhältnis, fällt die Bestrafung des Beschwerdeführers ausser Betracht (vgl. Art. 1 f. UWG; SR 241). Zwischen dem Strafverfahren und dem Zivilprozess besteht somit ein enger sachlicher Konnex. Die Beweiserhebung im Zivilprozess kann das Strafverfahren erheblich erleichtern. Mit Blick darauf hat die Staatsanwaltschaft ihr Ermessen nicht überschritten, wenn sie die Sistierung des Strafverfahrens verfügt hat (vgl. ebenso Urteil 1B_421/2012 vom 19. Juni 2013 E. 2.2, das einen vergleichbaren Fall betraf).</w:t>
      </w:r>
    </w:p>
    <w:p>
      <w:r>
        <w:rPr>
          <w:b/>
        </w:rPr>
        <w:t>E. 2.3</w:t>
      </w:r>
    </w:p>
    <w:p>
      <w:r>
        <w:t>Das Beschleunigungsgebot ( Art. 29 Abs. 1 BV ; Art. 5 StPO ) setzt der Sistierung des Strafverfahrens Grenzen. Das Gebot wird verletzt, wenn die Staatsanwaltschaft das Strafverfahren ohne objektiven Grund sistiert. Die Sistierung hängt von einer Abwägung der Interessen ab. Sie ist mit Zurückhaltung anzuordnen (Urteil 1B_421/2012 vom 19. Juni 2013 E. 2.3 mit Hinweis).</w:t>
      </w:r>
    </w:p>
    <w:p>
      <w:r>
        <w:t>Die Sistierung des Strafverfahrens beruht hier, wie dargelegt, auf einem objektiven Grund. Der Zivilprozess ist zudem bereits fortgeschritten. Der umfangreiche Schriftenwechsel ist abgeschlossen. Es kann daher angenommen werden, dass das Bezirksgericht über die Zivilklage (und Widerklage) in absehbarer Zeit befinden kann. Der Eintritt der Strafverfolgungsverjährung - der sich ohnehin zugunsten des Beschwerdeführers auswirkte - droht noch lange nicht. Gemäss Art. 23 Abs. 1 UWG i.V.m. Art. 97 Abs. 1 lit. c StGB beträgt die Verjährungsfrist 10 Jahre. Da der Beschwerdeführer die ihm vorgeworfene Tat am 4. September 2013 begangen haben soll, träte die Verjährung demnach im September 2023 ein. Der Zivilprozess sollte längst vor diesem Datum rechtskräftig erledigt sein. Falls er sich über Gebühr verzögern und deshalb der Eintritt der Strafverfolgungsverjährung drohen sollte, könnte (und müsste) die Staatsanwaltschaft das Strafverfahren vorher immer noch rechtzeitig wieder aufnehmen (vgl. ebenso Urteil 1B_421/2012 vom 19. Juni 2013 E. 2.3).</w:t>
      </w:r>
    </w:p>
    <w:p>
      <w:r>
        <w:t>In Anbetracht dessen ist die Sistierung auch mit Blick auf das Beschleunigungsgebot als zulässig anzusehen.</w:t>
      </w:r>
    </w:p>
    <w:p>
      <w:r>
        <w:rPr>
          <w:b/>
        </w:rPr>
        <w:t>E. 2.4</w:t>
      </w:r>
    </w:p>
    <w:p>
      <w:r>
        <w:t>Im Zivilprozess sind nicht dieselben Personen Partei wie im Strafverfahren. Dies steht der Sistierung nach der Rechtsprechung nicht entgegen (Urteil 1B_721/2011 vom 7. März 2012 E. 3.4).</w:t>
      </w:r>
    </w:p>
    <w:p>
      <w:r>
        <w:rPr>
          <w:b/>
        </w:rPr>
        <w:t>E. 2.5</w:t>
      </w:r>
    </w:p>
    <w:p>
      <w:r>
        <w:t>Die Sistierung des Strafverfahrens verletzt demnach kein Bundesrecht.</w:t>
      </w:r>
    </w:p>
    <w:p>
      <w:r>
        <w:rPr>
          <w:b/>
        </w:rPr>
        <w:t>E. 3</w:t>
      </w:r>
    </w:p>
    <w:p>
      <w:r>
        <w:t>Soweit der Beschwerdeführer rügt, die Vorinstanz habe ihre Begründungspflicht und damit seinen Anspruch auf rechtliches Gehör ( Art. 29 Abs. 2 BV ) verletzt, ist die Beschwerde ebenfalls unbehelflich. Die Vorinstanz legt nachvollziehbar dar, weshalb sie die Sistierung des Strafverfahrens als gerechtfertigt erachtet. Der Beschwerdeführer war denn auch ohne Weiteres in der Lage, ihren Entscheid sachgerecht anzufechten. Die Vorinstanz musste sich nicht mit jedem tatsächlichen oder rechtlichen Einwand auseinandersetzen. Wenn sie sich auf die wesentlichen Gesichtspunkte beschränkt hat, ist das nicht zu beanstanden ( BGE 139 IV 179 E. 2.2 S. 183 mit Hinweisen).</w:t>
      </w:r>
    </w:p>
    <w:p>
      <w:r>
        <w:rPr>
          <w:b/>
        </w:rPr>
        <w:t>E. 4</w:t>
      </w:r>
    </w:p>
    <w:p>
      <w:r>
        <w:t>Die Beschwerde ist abzuweisen.</w:t>
      </w:r>
    </w:p>
    <w:p>
      <w:r>
        <w:t>Bei diesem Ausgang des Verfahrens trägt der Beschwerdeführer die Kosten ( Art. 66 Abs. 1 Satz 1 BGG ). Er hat der Anzeigeerstatterin (und privaten Beschwerdegegnerin)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