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1B_218/2013 vom 16. Juli 2013</w:t>
      </w:r>
    </w:p>
    <w:p>
      <w:r>
        <w:t>Bundesgericht, 2013-07-16, FR</w:t>
      </w:r>
    </w:p>
    <w:p>
      <w:r>
        <w:rPr>
          <w:b/>
        </w:rPr>
        <w:t xml:space="preserve">Quelle: </w:t>
      </w:r>
      <w:r>
        <w:t>https://mcp.opencaselaw.ch/entscheid/bger_1B_218_2013</w:t>
      </w:r>
    </w:p>
    <w:p>
      <w:r>
        <w:t>FR: TF 1B_218/2013 du 16 juillet 2013</w:t>
      </w:r>
    </w:p>
    <w:p>
      <w:r>
        <w:t>IT: TF 1B_218/2013 del 16 luglio 2013</w:t>
      </w:r>
    </w:p>
    <w:p>
      <w:pPr>
        <w:pStyle w:val="Heading2"/>
      </w:pPr>
      <w:r>
        <w:t>Erwägungen</w:t>
      </w:r>
    </w:p>
    <w:p>
      <w:r>
        <w:rPr>
          <w:b/>
        </w:rPr>
        <w:t>E. 1</w:t>
      </w:r>
    </w:p>
    <w:p>
      <w:r>
        <w:t>Le recours en matière pénale ( art. 78 al. 1 LTF ) est en principe ouvert contre une décision relative au maintien en détention provisoire au sens des art. 212 ss CPP . Dès lors que l'acte de procédure litigieux ne met pas un terme à la procédure pénale (art. 90 s. LTF), il s'agit d'une décision incidente prise séparément au sens de l' art. 93 al. 1 LTF . La décision ordonnant la mise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ne conteste pas l'existence de charges suffisantes à son encontre. En revanche, il fait valoir une violation du principe de la proportionnalité, au motif que la durée de la détention préventive serait excessive au regard de la peine qu'il encourt, même en tenant compte d'une révocation du sursis.</w:t>
      </w:r>
    </w:p>
    <w:p>
      <w:r>
        <w:rPr>
          <w:b/>
        </w:rPr>
        <w:t>E. 2.1</w:t>
      </w:r>
    </w:p>
    <w:p>
      <w:r>
        <w:t>Le principe de proportionnalité postule que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 art. 212 al. 3 CPP ).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et les références).</w:t>
      </w:r>
    </w:p>
    <w:p>
      <w:r>
        <w:rPr>
          <w:b/>
        </w:rPr>
        <w:t>E. 2.2</w:t>
      </w:r>
    </w:p>
    <w:p>
      <w:r>
        <w:t>En l'espèce, la durée de la détention avant jugement subie par le recourant atteignait environ dix-huit mois au moment où la décision attaquée a été rendue. Le recourant est prévenu de recel ( art. 160 CP ) et de blanchiment d'argent ( art. 305bis CP ), infractions passibles d'une peine privative de liberté, respectivement de cinq ans au plus et de trois ans au plus. La cour cantonale a rappelé que l'intéressé avait commis des actes délictueux auparavant et qu'il avait récidivé quelques mois seulement après un précédent séjour en détention provisoire. Elle a ajouté que le recourant risquait de devoir exécuter le solde de la peine qui lui avait été infligée le 20 mai 2010, soit environ cinq mois de détention, puisque les infractions qui font l'objet de la présente procédure ont été commises durant le délai d'épreuve d'une condamnation ultérieure.</w:t>
      </w:r>
    </w:p>
    <w:p>
      <w:r>
        <w:t>Dans ces conditions, il y a lieu de considérer que la durée de la détention préventive déjà subie est encore tout juste compatible avec la peine privative de liberté à laquelle l'inculpé est exposé concrètement en cas de condamnation, de sorte que le Tribunal cantonal a correctement nié une violation du principe de la proportionnalité. Les autorités cantonales devront toutefois faire en sorte que l'instruction touche très rapidement à sa fin en ce qui concerne le recourant, ce que le Ministère public s'est engagé à faire notamment en indiquant que si le rapport final de police n'était pas rendu le 5 juillet 2013, la direction de la procédure envisagera une mise en prochaine clôture du dossier sans ledit rapport, avec l'assentiment de l'ensemble des parties.</w:t>
      </w:r>
    </w:p>
    <w:p>
      <w:r>
        <w:rPr>
          <w:b/>
        </w:rPr>
        <w:t>E. 3</w:t>
      </w:r>
    </w:p>
    <w:p>
      <w:r>
        <w:t>Le recourant estime également que le principe de la célérité a été violé. Il expose que le rapport final de police n'a toujours pas été déposé et que les auditions récapitulatives ne sont toujours pas fixées, alors que le Ministère public indiquait, le 28 janvier 2013 déjà, qu'un dépôt dudit rapport final était envisagé "au début du mois de mars 2013" et, le 12 avril 2013, que l'instruction devrait pouvoir se terminer "à brève échéance".</w:t>
      </w:r>
    </w:p>
    <w:p>
      <w:r>
        <w:rPr>
          <w:b/>
        </w:rPr>
        <w:t>E. 3.1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 ATF 128 I 149 consid. 2.2.1 p. 151 s.;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rPr>
          <w:b/>
        </w:rPr>
        <w:t>E. 3.2</w:t>
      </w:r>
    </w:p>
    <w:p>
      <w:r>
        <w:t>En l'occurrence, dans ses déterminations devant le Tribunal de céans, le Ministère public a précisé avoir imparti à la police judiciaire municipale de Lausanne un dernier délai au 5 juillet 2013 pour le dépôt du rapport final de synthèse. Il a ajouté que si le délai précité venait à ne pas être respecté, la direction de la procédure envisagera une mise en prochaine clôture du dossier sans ledit rapport, avec l'assentiment de l'ensemble des parties. Ledit rapport n'a pas été rendu dans le délai imparti.</w:t>
      </w:r>
    </w:p>
    <w:p>
      <w:r>
        <w:t>Dans l'arrêt attaqué, les juges cantonaux ont retenu que le Ministère public était conscient qu'il devait faire preuve de diligence dans cette affaire et qu'il avait mis en demeure la police judiciaire de Lausanne pour s'exprimer sur les raisons pour lesquelles le rapport final de police n'avait toujours pas été déposé. Ils ont précisé que le fait qu'aucune opération d'envergure n'avait eu lieu récemment ne permettait pas d'établir un retard injustifié dans l'avancement de cette procédure complexe et portant sur des faits graves, qui implique sept prévenus, et qui avait nécessité des écoutes téléphoniques ainsi que des commissions rogatoires, notamment en Serbie.</w:t>
      </w:r>
    </w:p>
    <w:p>
      <w:r>
        <w:t>Ce raisonnement ne peut être suivi, dans la mesure où aucun acte d'instruction n'a été effectué depuis novembre 2012, soit depuis neuf mois (cf. lettre du Ministère public à la police judiciaire municipale de Lausanne du 3 avril 2013). Les différentes échéances avancées n'ont pas été respectées, à tel point que l'on ignore quand le dépôt du rapport final de police pourra intervenir et quand la mise en accusation pourra être réalisée. Si l'affaire a une composante internationale, elle ne revêt toutefois pas une complexité ou une ampleur particulière qui justifierait un dépassement réitéré des délais que le Ministère public a lui-même fixés. Dans ces conditions, il y a lieu de constater que le principe de la célérité est violé.</w:t>
      </w:r>
    </w:p>
    <w:p>
      <w:r>
        <w:rPr>
          <w:b/>
        </w:rPr>
        <w:t>E. 3.3</w:t>
      </w:r>
    </w:p>
    <w:p>
      <w:r>
        <w:t>Cela n'entraîne cependant pas la libération immédiate du recourant, dans la mesure où la détention demeure justifiée par un risque de récidive qui n'est pas contesté par le recourant (cf. arrêts 1B_80/2013 du 13 mars 2013 consid. 3 et 1B_580/2012 du 17 octobre 2012 consid. 3).</w:t>
      </w:r>
    </w:p>
    <w:p>
      <w:r>
        <w:t>A l'instar de la violation de certains délais procéduraux, la violation du principe de célérité peut être réparée - au moins partiellement - par la constatation de cette violation, une admission partielle du recours sur ce point, la mise à la charge de l'Etat des frais de justice et l'octroi de dépens (cf. ATF 139 IV 94 consid. 2.4 p. 97). Par ailleurs, l'appréciation d'ensemble du caractère raisonnable de la procédure devra être faite par le juge du fond qui pourra tenir compte de la violation du principe de la célérité dans la fixation de la peine (cf. ATF 128 I 149 consid. 2.2 p. 151 s.).</w:t>
      </w:r>
    </w:p>
    <w:p>
      <w:r>
        <w:rPr>
          <w:b/>
        </w:rPr>
        <w:t>E. 4</w:t>
      </w:r>
    </w:p>
    <w:p>
      <w:r>
        <w:t>Il s'ensuit que le recours doit être admis partiellement en ce sens qu'il est constaté que le principe de célérité est violé, que les frais d'arrêt sont mis à la charge de l'Etat de Vaud et que le recourant a en outre droit à une indemnité en raison de la constatation qui précède. L'arrêt attaqué doit donc être réformé sur ces points. Le recours est rejeté pour le surplus, notamment en tant que l'intéressé conclut à sa mise en liberté immédiate.</w:t>
      </w:r>
    </w:p>
    <w:p>
      <w:r>
        <w:t>Le recourant, qui obtient partiellement gain de cause avec l'assistance d'un avocat, a aussi droit à des dépens réduits pour la présente procédure, à la charge de l'Etat de Vaud ( art. 68 al. 1 et 2 LTF ). Pour le reste, il peut être fait droit à la demande d'assistance judiciaire du recourant, celui-ci ne disposant pas de ressources suffisantes et les conclusions de son recours ne paraissant pas d'emblée vouées à l'échec ( art. 64 al. 1 LTF ). L'intervention d'un avocat était nécessaire à la sauvegarde des droits du recourant, de sorte qu'il y a lieu de désigner Me Jean-Marc Courvoisier comme avocat d'office et de fixer d'office ses honoraires, qui seront supportés par la caisse du Tribunal fédéral ( art. 64 al. 2 LTF ). Enfin, il n'y a pas lieu de percevoir des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