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1B_217/2008 vom 29. August 2008</w:t>
      </w:r>
    </w:p>
    <w:p>
      <w:r>
        <w:t>Bundesgericht, 2008-08-29, FR</w:t>
      </w:r>
    </w:p>
    <w:p>
      <w:r>
        <w:rPr>
          <w:b/>
        </w:rPr>
        <w:t xml:space="preserve">Quelle: </w:t>
      </w:r>
      <w:r>
        <w:t>https://mcp.opencaselaw.ch/entscheid/bger_1B_217_2008</w:t>
      </w:r>
    </w:p>
    <w:p>
      <w:r>
        <w:t>FR: TF 1B_217/2008 du 29 août 2008</w:t>
      </w:r>
    </w:p>
    <w:p>
      <w:r>
        <w:t>IT: TF 1B_217/2008 del 29 agosto 2008</w:t>
      </w:r>
    </w:p>
    <w:p>
      <w:pPr>
        <w:pStyle w:val="Heading2"/>
      </w:pPr>
      <w:r>
        <w:t>Erwägungen</w:t>
      </w:r>
    </w:p>
    <w:p>
      <w:r>
        <w:rPr>
          <w:b/>
        </w:rPr>
        <w:t>E. 1</w:t>
      </w:r>
    </w:p>
    <w:p>
      <w:r>
        <w:t>Le recours en matière pénale est ouvert contre une décision par laquelle l'assistance judiciaire gratuite est refusée à une partie à la procédure pénale ( ATF 133 IV 335 consid. 2 p. 337).</w:t>
      </w:r>
    </w:p>
    <w:p>
      <w:r>
        <w:rPr>
          <w:b/>
        </w:rPr>
        <w:t>E. 1.1</w:t>
      </w:r>
    </w:p>
    <w:p>
      <w:r>
        <w:t>La décision attaquée est rendue en dernière instance cantonale ( art. 80 LTF ). Le refus d'accorder l'assistance judiciaire au recourant est susceptible de lui causer un dommage irréparable au sens de l' art. 93 al. 1 let. a LTF ( ATF 133 IV 335 consid. 4 p. 338).</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w:t>
      </w:r>
    </w:p>
    <w:p>
      <w:r>
        <w:t>Invoquant l' art. 6 CEDH , le recourant affirme qu'il ne parle le français que de "façon simple", et qu'il ne pourrait assurer sa défense lors des débats face au Ministère public.</w:t>
      </w:r>
    </w:p>
    <w:p>
      <w:r>
        <w:rPr>
          <w:b/>
        </w:rPr>
        <w:t>E. 2.1</w:t>
      </w:r>
    </w:p>
    <w:p>
      <w:r>
        <w:t>Selon les art. 6 par. 2 let . c CEDH et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Contrairement à ce que semble soutenir le recourant,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 ATF 131 I 350 consid. 3.1 p. 355). En cas de délit de peu d'importance, passible d'une amende ou d'une peine privative de liberté de courte durée, la pratique ne reconnaît pas de droit à un avocat d'office. Lorsque l'accusé encourt une peine de détention de quelques semaines à quelques mois, il a en principe droit à un défenseur d'office, pour autant que la cause soulève des difficultés particulières en fait ou en droit ( ATF 120 Ia 43 ).</w:t>
      </w:r>
    </w:p>
    <w:p>
      <w:r>
        <w:rPr>
          <w:b/>
        </w:rPr>
        <w:t>E. 2.2</w:t>
      </w:r>
    </w:p>
    <w:p>
      <w:r>
        <w:t>En l'occurrence, le Tribunal d'accusation a retenu avec raison que la cause ne soulève pas de difficultés; le recourant a immédiatement et entièrement reconnu les faits. Même s'il ne s'exprime pas aisément en français, il a pu expliquer dans le détail les raisons et les circonstances de son geste. Il ne prétend d'ailleurs pas avoir été mal compris par les personnes qui l'ont entendu. Du point de vue de la qualification juridique, la cause ne présente pas non plus de difficulté particulière.</w:t>
      </w:r>
    </w:p>
    <w:p>
      <w:r>
        <w:rPr>
          <w:b/>
        </w:rPr>
        <w:t>E. 2.3</w:t>
      </w:r>
    </w:p>
    <w:p>
      <w:r>
        <w:t>Le Tribunal d'accusation s'est également fondé sur l'art. 104 du code de procédure pénale vaudois, selon lequel un défenseur d'office est désigné lorsque le Ministère public intervient ou si la détention préventive dure depuis plus de trente jours. Le recourant ne soutient pas, avec raison, que cette disposition aurait été arbitrairement appliquée. En effet, dans sa réponse au recours, le Ministère public vaudois a confirmé qu'il n'entendait pas intervenir dans la procédure, et que s'il jugeait sa présence nécessaire aux débats, il inviterait le tribunal à désigner un avocat d'office au prévenu. Par ailleurs, une détention préventive n'a pas été ordonnée, le recourant se trouvant déjà en exécution de peine.</w:t>
      </w:r>
    </w:p>
    <w:p>
      <w:r>
        <w:rPr>
          <w:b/>
        </w:rPr>
        <w:t>E. 3</w:t>
      </w:r>
    </w:p>
    <w:p>
      <w:r>
        <w:t>Sur le vu de ce qui précède, le recours doit être rejeté. Cette issue était d'emblée prévisible, de sorte que l'assistance judiciaire ne peut être accordée au recourant ( art. 64 al. 1 LTF ). A titre exceptionnel, il peut toutefois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