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216/2022 vom 8. August 2022</w:t>
      </w:r>
    </w:p>
    <w:p>
      <w:r>
        <w:t>Bundesgericht, 2022-08-08, FR</w:t>
      </w:r>
    </w:p>
    <w:p>
      <w:r>
        <w:rPr>
          <w:b/>
        </w:rPr>
        <w:t xml:space="preserve">Quelle: </w:t>
      </w:r>
      <w:r>
        <w:t>https://mcp.opencaselaw.ch/entscheid/bger_1B_216_2022</w:t>
      </w:r>
    </w:p>
    <w:p>
      <w:r>
        <w:t>FR: TF 1B 216/2022 du 8 août 2022</w:t>
      </w:r>
    </w:p>
    <w:p>
      <w:r>
        <w:t>IT: TF 1B 216/2022 del 8 agosto 2022</w:t>
      </w:r>
    </w:p>
    <w:p>
      <w:pPr>
        <w:pStyle w:val="Heading2"/>
      </w:pPr>
      <w:r>
        <w:t>Regeste</w:t>
      </w:r>
    </w:p>
    <w:p>
      <w:r>
        <w:t>procédure pénale; perquisition; demande de levée de scellés | Procédure pénale</w:t>
      </w:r>
    </w:p>
    <w:p>
      <w:pPr>
        <w:pStyle w:val="Heading2"/>
      </w:pPr>
      <w:r>
        <w:t>Erwägungen</w:t>
      </w:r>
    </w:p>
    <w:p>
      <w:r>
        <w:rPr>
          <w:b/>
        </w:rPr>
        <w:t>E. 1</w:t>
      </w:r>
    </w:p>
    <w:p>
      <w:r>
        <w:t>Déposé dans le délai de 30 jours auprès d'une autorité fédérale incompétente et transmis par celle-ci au Tribunal fédéral, le recours est, sous ce point de vue, recevable (cf. art. 91 al. 4 CPP et art. 48 al. 3 LTF ). Si l'acte de recours a été rédigé en allemand, il n'y a, en l'espèce, pas de raison suffisante pour déroger à la règle générale selon laquelle l'arrêt est rendu dans la langue de la décision attaquée (cf. art. 54 LTF ).</w:t>
      </w:r>
    </w:p>
    <w:p>
      <w:r>
        <w:rPr>
          <w:b/>
        </w:rPr>
        <w:t>E. 2</w:t>
      </w:r>
    </w:p>
    <w:p>
      <w:r>
        <w:t>Le Tribunal fédéral examine d'office sa compétence ( art. 29 al. 1 LTF ) et contrôle librement la recevabilité des recours qui lui sont soumis ( ATF 147 I 333 consid. 1).</w:t>
      </w:r>
    </w:p>
    <w:p>
      <w:r>
        <w:rPr>
          <w:b/>
        </w:rPr>
        <w:t>E. 2.1</w:t>
      </w:r>
    </w:p>
    <w:p>
      <w:r>
        <w:t>Ne mettant pas un terme à la procédure pénale, la décision attaquée est de nature incidente. Elle est toutefois susceptible de causer un préjudice irréparable au sens de l' art. 93 al. 1 let. a LTF , lorsqu'elle pourrait porter atteinte à un secret protégé au sens de l' art. 248 al. 1 CPP ( ATF 144 IV 74 consid. 2.2), à l'instar du secret professionnel de l'avocat ( ATF 143 IV 462 consid. 1). En effet, une fois révélé, le secret protégé ne peut plus être préservé et une décision ultérieure favorable au recourant ne pourrait pas faire disparaître entièrement ce préjudice (cf. ATF 147 III 159 consid. 4.1). En revanche, 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(arrêt 1B_394/2020 du 22 septembre 2020 consid. 1.2.3). Il est en effet toujours possible de faire valoir, devant le juge du fond, le caractère inexploitable des moyens de preuve recueillis: par ce biais, une décision ultérieure favorable au recourant empêchera que le moyen de preuve illicite soit pris en compte dans une procédure et le recourant n'en subira aucun préjudice (cf. arrêt 1B_351/2016 du 16 novembre 2016 consid. 1.3). Il appartient au recourant qui attaque une décision incidente de démontrer en quoi les conditions de l' art. 93 al. 1 LTF sont réunies: il doit notamment expliquer dans quelle mesure il se trouve menacé d'un préjudice irréparable. En l'absence d'une telle motivation, le recours est irrecevable ( ATF 147 III 159 consid. 4.1).</w:t>
      </w:r>
    </w:p>
    <w:p>
      <w:r>
        <w:rPr>
          <w:b/>
        </w:rPr>
        <w:t>E. 2.2</w:t>
      </w:r>
    </w:p>
    <w:p>
      <w:r>
        <w:t>En l'espèce, le recourant ne s'exprime ni sur le caractère incident de la décision attaquée ni sur les conséquences que cela implique pour la recevabilité de son recours. Il ne fait pas non plus valoir un secret protégé par la loi, pour lui-même ou son amie. Il prétend en revanche que les conditions de la perquisition dont il a fait l'objet n'étaient pas réalisées: il soutient en particulier qu'il n'existerait pas de soupçons suffisants d'une infraction pour prononcer la présente mesure de contrainte et que la forme orale de l'ordre de perquisition serait discutable. En outre, il allègue ne pas avoir été - en raison de l'alcool - en pleine possession de ses moyens lors de la perquisition. Ce faisant, le recourant ne démontre pas en quoi la présente décision serait susceptible de lui causer un préjudice irréparable. L'existence d'un tel préjudice n'apparaît en outre pas manifeste. Il appartient en réalité au recourant de s'adresser au juge du fond pour faire valoir le caractère inexploitable des données contenues dans son téléphone portable en raison d'une éventuelle illicéité de la perquisition. En cas d'admission d'un telle démarche et en l'absence de secrets protégés, le recourant ne subira aucun préjudice de nature juridique dans la procédure au fond conduite contre lui.</w:t>
      </w:r>
    </w:p>
    <w:p>
      <w:r>
        <w:rPr>
          <w:b/>
        </w:rPr>
        <w:t>E. 2.3</w:t>
      </w:r>
    </w:p>
    <w:p>
      <w:r>
        <w:t>Dans ces conditions, le recours est irrecevable.</w:t>
      </w:r>
    </w:p>
    <w:p>
      <w:r>
        <w:rPr>
          <w:b/>
        </w:rPr>
        <w:t>E. 3</w:t>
      </w:r>
    </w:p>
    <w:p>
      <w:r>
        <w:t>Le recourant, qui ne bénéficie pas de l'assistance judiciaire devant les instances cantonales, ne donne aucune indication sur sa situation financière. Il sera par conséquent condamné aux frais de la procédure, lesquels tiendront compte de ses moyens financiers apparemment limités (art. 65 al. 2 et 3 let. a et 66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