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1B_216/2020 vom 24. Juni 2020</w:t>
      </w:r>
    </w:p>
    <w:p>
      <w:r>
        <w:t>Bundesgericht, 2020-06-24, DE</w:t>
      </w:r>
    </w:p>
    <w:p>
      <w:r>
        <w:rPr>
          <w:b/>
        </w:rPr>
        <w:t xml:space="preserve">Quelle: </w:t>
      </w:r>
      <w:r>
        <w:t>https://mcp.opencaselaw.ch/entscheid/bger_1B_216_2020</w:t>
      </w:r>
    </w:p>
    <w:p>
      <w:r>
        <w:t>FR: TF 1B_216/2020 du 24 juin 2020</w:t>
      </w:r>
    </w:p>
    <w:p>
      <w:r>
        <w:t>IT: TF 1B_216/2020 del 24 giugno 2020</w:t>
      </w:r>
    </w:p>
    <w:p>
      <w:pPr>
        <w:pStyle w:val="Heading2"/>
      </w:pPr>
      <w:r>
        <w:t>Erwägungen</w:t>
      </w:r>
    </w:p>
    <w:p>
      <w:r>
        <w:rPr>
          <w:b/>
        </w:rPr>
        <w:t>E. 1</w:t>
      </w:r>
    </w:p>
    <w:p>
      <w:r>
        <w:t>Mit Verfügung vom 26. März 2020 ist das Obergericht des Kantons Bern auf ein Revisionsgesuch von A.________, das Gesuch um unentgeltliche Rechtspflege im Verfahren BK 10 69 und das Gesuch um Erlass der ihm mit obergerichtlichem Beschluss von 29. März 2019 auferlegten Kosten nicht eingetreten. Es hat keine Kosten erhoben und das Gesuch um unentgeltliche Rechtspflege als gegenstandslos abgeschrieben.</w:t>
      </w:r>
    </w:p>
    <w:p>
      <w:r>
        <w:t>Mit Eingabe vom 4. Mai 2020 beantragt A.________, es sei auf die Beschwerde einzutreten, sie gutzuheissen und der rechtmässige Zustand von 2005 wiederherzustellen. Nebst einem weiteren, nicht verständlichen Antrag ersucht er um die Zusprechung einer Parteientschädigung und einer angemessenen Genugtuung.</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und legt nicht in nachvollziehbarer Weise dar, inwiefern dieser bundesrechtswidrig sein soll. Das ist auch nicht ersichtlich. Auf die Beschwerde ist wegen Verletzung der Begründungspflicht im vereinfachten Verfahren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