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216/2015 vom 6. Juli 2015</w:t>
      </w:r>
    </w:p>
    <w:p>
      <w:r>
        <w:t>Bundesgericht, 2015-07-06, FR</w:t>
      </w:r>
    </w:p>
    <w:p>
      <w:r>
        <w:rPr>
          <w:b/>
        </w:rPr>
        <w:t xml:space="preserve">Quelle: </w:t>
      </w:r>
      <w:r>
        <w:t>https://mcp.opencaselaw.ch/entscheid/bger_1B_216_2015</w:t>
      </w:r>
    </w:p>
    <w:p>
      <w:r>
        <w:t>FR: TF 1B 216/2015 du 6 juillet 2015</w:t>
      </w:r>
    </w:p>
    <w:p>
      <w:r>
        <w:t>IT: TF 1B 216/2015 del 6 luglio 2015</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dans le délai fixé à l' art. 100 al. 1 LTF contre une décision prise en dernière instance cantonale (233 CPP et art. 80 LTF ). Le recourant, dont la demande de libération a été écartée, a qualité pour agir (art. 81 al. 1 let. a et b ch. 1 LTF) et les conclusions présentées sont recevables au regard de l' art. 107 al. 2 LTF .</w:t>
      </w:r>
    </w:p>
    <w:p>
      <w:r>
        <w:rPr>
          <w:b/>
        </w:rPr>
        <w:t>E. 2</w:t>
      </w:r>
    </w:p>
    <w:p>
      <w:r>
        <w:t>Le recourant s'en rapporte à justice quant à l'existence de forts soupçons retenus par les instances précédentes. Il estime qu'une infraction de brigandage simple entrerait d'avantage en considération qu'un brigandage aggravé. Il conteste ensuite les risques de fuite (non retenu par l'instance précédente), de collusion et de réitération.</w:t>
      </w:r>
    </w:p>
    <w:p>
      <w:r>
        <w:rPr>
          <w:b/>
        </w:rPr>
        <w:t>E. 2.1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2.2</w:t>
      </w:r>
    </w:p>
    <w:p>
      <w:r>
        <w:t>Même s'il déclare s'en rapporter à justice à propos des charges retenues contre lui, le recourant tente d'en minimiser l'importance. Il se trouve toutefois clairement mis en cause pour s'être trouvé à l'origine de l'agression, y avoir pris part et avoir détroussé la victime. Compte tenu de la violence de l'agression, qui à dire d'experts, a mis la victime en danger de mort, une qualification de brigandage aggravé entre sérieusement en considération.</w:t>
      </w:r>
    </w:p>
    <w:p>
      <w:r>
        <w:rPr>
          <w:b/>
        </w:rPr>
        <w:t>E. 2.3</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 art. 221 al. 1 let. b CPP ).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s.; 132 I 21 consid. 3.2 p. 23 et les références citées). En l'occurrence, le recourant est également poursuivi pour entrave à l'action de la justice pour avoir tenté d'obtenir, de la part de quatre co-prévenus, des déclarations qui lui soient favorables quant à sa participation à l'agression. Ces agissements, relatés par les intéressés et eux-mêmes constitutifs d'une infraction, vont bien au-delà du simple exercice du droit de ne pas s'incriminer. Par ailleurs, les déclarations de C.________ constituent un élément à charge très important s'agissant de la manière dont le recourant l'aurait convaincu de s'en prendre à la victime et de son attitude pendant et après l'agression, dès lors que la victime elle-même n'a aucun souvenir du déroulement des faits. Enfin, contrairement à ce qu'il prétend, le recourant n'a guère collaboré à l'instruction; il a tenté initialement d'orienter l'enquête dans une fausse direction, puis a constamment minimisé son rôle. Le risque de collusion apparaît ainsi évident, quand bien même l'instruction toucherait aujourd'hui à sa fin.</w:t>
      </w:r>
    </w:p>
    <w:p>
      <w:r>
        <w:rPr>
          <w:b/>
        </w:rPr>
        <w:t>E. 2.4</w:t>
      </w:r>
    </w:p>
    <w:p>
      <w:r>
        <w:t>Aux termes de l' art. 221 al. 1 let . c CPP, la détention provisoire ou pour des motifs de sûreté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 Pour contester le risque de récidive, le recourant se contente de relever qu'il entend réintégrer le domicile de sa mère où il pourrait bénéficier d'un soutien familial auquel il aurait jusque-là renoncé. Il n'en demeure pas moins qu'il est mis en cause pour sa participation à une violente agression et qu'une procédure est parallèlement en cours pour vol. Le dossier fait encore référence à une autre agression commise le 31 octobre 2014, et le recourant a été condamné pour vols d'usage et vol à trois reprises en 2010. Rien ne permet de penser qu'un simple changement dans son encadrement suffirait à réduire la propension du recourant à s'en prendre à l'intégrité et au patrimoine d'autrui. La confirmation des risques de collusion et de réitération permet de se dispenser - comme l'a fait l'instance précédente - d'examiner un éventuel risque de fuite.</w:t>
      </w:r>
    </w:p>
    <w:p>
      <w:r>
        <w:rPr>
          <w:b/>
        </w:rPr>
        <w:t>E. 3</w:t>
      </w:r>
    </w:p>
    <w:p>
      <w:r>
        <w:t>Invoquant l' art. 237 al. 1 CPP , le recourant soutient qu'une assignation à domicile assortie de la pose d'un bracelet électronique permettrait de réduire les risques de collusion et de réitération.</w:t>
      </w:r>
    </w:p>
    <w:p>
      <w:r>
        <w:rPr>
          <w:b/>
        </w:rPr>
        <w:t>E. 3.1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l'assignation à résidence (let. c) et l'interdiction d'entretenir des relations avec certaines personnes (let. g), l'exécution de ces mesures pouvant être surveillée par l'utilisation d'appareils techniques tels que le bracelet électronique (art. 237 al. 3).</w:t>
      </w:r>
    </w:p>
    <w:p>
      <w:r>
        <w:rPr>
          <w:b/>
        </w:rPr>
        <w:t>E. 3.2</w:t>
      </w:r>
    </w:p>
    <w:p>
      <w:r>
        <w:t>Les mesures préconisées par le recourant ne sont manifestement pas propres à réduire le risque de collusion. En effet, rien ne l'empêcherait de tenter d'entrer en contact directement ou non avec ses co-prévenus afin de les influencer, ainsi qu'il l'a d'ailleurs déjà fait. L'argumentaire du recourant se limite également, sur ce point, à des déclarations d'intention qui ne sauraient convaincre. Le maintien en détention provisoire - qui ne devrait d'ailleurs pas se prolonger puisque l'instruction est désormais achevée - apparaît ainsi conforme au principe de la proportionnalité.</w:t>
      </w:r>
    </w:p>
    <w:p>
      <w:r>
        <w:rPr>
          <w:b/>
        </w:rPr>
        <w:t>E. 4</w:t>
      </w:r>
    </w:p>
    <w:p>
      <w:r>
        <w:t>Il résulte de ce qui précède que le recours doit être rejeté. Les conditions posées à l' art. 64 al. 1 LTF étant réunies, il convient de mettre le recourant au bénéfice de l'assistance judiciaire, de lui désigner Me Philippe Currat comme avocat d'office et d'allouer à celui-ci une indemnité à titre d'honoraires, qui sera supportée par la caisse du tribunal ( art. 64 al. 2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