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1B_216/2010 vom 14. Oktober 2010</w:t>
      </w:r>
    </w:p>
    <w:p>
      <w:r>
        <w:t>Bundesgericht, 2010-10-14, DE</w:t>
      </w:r>
    </w:p>
    <w:p>
      <w:r>
        <w:rPr>
          <w:b/>
        </w:rPr>
        <w:t xml:space="preserve">Quelle: </w:t>
      </w:r>
      <w:r>
        <w:t>https://mcp.opencaselaw.ch/entscheid/bger_1B_216_2010</w:t>
      </w:r>
    </w:p>
    <w:p>
      <w:r>
        <w:t>FR: TF 1B_216/2010 du 14 octobre 2010</w:t>
      </w:r>
    </w:p>
    <w:p>
      <w:r>
        <w:t>IT: TF 1B_216/2010 del 14 ottobre 2010</w:t>
      </w:r>
    </w:p>
    <w:p>
      <w:pPr>
        <w:pStyle w:val="Heading2"/>
      </w:pPr>
      <w:r>
        <w:t>Erwägungen</w:t>
      </w:r>
    </w:p>
    <w:p>
      <w:r>
        <w:rPr>
          <w:b/>
        </w:rPr>
        <w:t>E. 1</w:t>
      </w:r>
    </w:p>
    <w:p>
      <w:r>
        <w:t>Gegen den angefochtenen Beschluss ist gemäss Art. 78 Abs. 1 BGG die Beschwerde in Strafsachen gegeben.</w:t>
      </w:r>
    </w:p>
    <w:p>
      <w:r>
        <w:t>Ein kantonales Rechtsmittel steht nicht zur Verfügung. Die Beschwerde ist somit nach Art. 80 BGG zulässig.</w:t>
      </w:r>
    </w:p>
    <w:p>
      <w:r>
        <w:t>Der Beschwerdeführer hat am vorinstanzlichen Verfahren teilgenommen und ein schutzwürdiges Interesse an der Aufhebung oder Änderung des angefochtenen Entscheids. Er ist gemäss Art. 81 Abs. 1 lit. a und b Ziff. 1 BGG zur Beschwerde befugt.</w:t>
      </w:r>
    </w:p>
    <w:p>
      <w:r>
        <w:t>Beim angefochtenen Beschluss handelt es sich um einen selbstständig eröffneten Zwischenentscheid über ein Ausstandsbegehren. Dagegen ist die Beschwerde nach Art. 92 BGG zulässig.</w:t>
      </w:r>
    </w:p>
    <w:p>
      <w:r>
        <w:t>Da auch die weiteren Sachurteilsvoraussetzungen erfüllt sind, ist auf die Beschwerde einzutreten.</w:t>
      </w:r>
    </w:p>
    <w:p>
      <w:r>
        <w:rPr>
          <w:b/>
        </w:rPr>
        <w:t>E. 2.1</w:t>
      </w:r>
    </w:p>
    <w:p>
      <w:r>
        <w:t>Der Beschwerdeführer rügt, der angefochtene Entscheid verletze Art. 30 Abs. 1 BV und Art. 6 Ziff. 1 EMRK . Er bringt vor, er könne mit dem Journalisten im Berufungsverfahren nun einen direkten Entlastungszeugen präsentieren. Dabei stelle die I. Strafkammer diesen vor die Wahl, den tatsächlichen Täter zu nennen oder auf die Aussage zu verzichten. Sollte der Zeuge wie angekündigt teilweise aussagen, so bestehe - so die I. Strafkammer - zum Vornherein ein Glaubhaftigkeitsdefizit. Darüber hinaus drohe dem Zeugen Beugehaft sowie Verurteilungen wegen Ungehorsams gegen amtliche Verfügungen und falschen Zeugnisses. Für den Beschwerdeführer entstehe damit der Eindruck, die I. Strafkammer wolle den Zeugen gar nicht anhören bzw. nur dann, wenn er den tatsächlichen Täter nenne. Wenn er hingegen wie angekündigt teilweise aussage, glaube man ihm nicht. Werde diese Auffassung zum einzigen direkten Entlastungszeugen geäussert und dies, nachdem erstinstanzlich ohne den Zeugen eine Verurteilung erfolgt sei, entstehe objektiv der Anschein, die I. Strafkammer werde die Zeugenaussage nicht mehr unvoreingenommen würdigen.</w:t>
      </w:r>
    </w:p>
    <w:p>
      <w:r>
        <w:rPr>
          <w:b/>
        </w:rPr>
        <w:t>E. 2.2</w:t>
      </w:r>
    </w:p>
    <w:p>
      <w:r>
        <w:t>Nach Art. 30 Abs. 1 BV und Art. 6 Ziff. 1 EMRK hat jede Person Anspruch darauf, dass ihre Strafsache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w:t>
      </w:r>
    </w:p>
    <w:p>
      <w:r>
        <w:t>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w:t>
      </w:r>
    </w:p>
    <w:p>
      <w:r>
        <w:t>Der Anschein der Befangenheit kann durch unterschiedlichste Umstände und Gegebenheiten erweckt werden. Dazu können insbesondere während eines Prozesses abgegebene Äusserungen eines Richters zählen, die den Schluss zulassen, dass sich dieser bereits eine feste Meinung über den Ausgang des Verfahrens gebildet hat ( BGE 136 I 207 E. 3.1 S. 210 ; 134 I 238 E. 2.1 S. 240; je mit Hinweisen).</w:t>
      </w:r>
    </w:p>
    <w:p>
      <w:r>
        <w:t>Prozessuale Fehler oder auch ein möglicherweise falscher materieller Entscheid vermögen nach der Rechtsprechung für sich allein keinen Anschein der Voreingenommenheit zu begründen. Anders verhält es sich nur, wenn besonders krasse oder wiederholte Irrtümer vorliegen, die als schwere Verletzung der Richterpflichten beurteilt werden müssen. Mit der Tätigkeit des Richters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Zudem kann das Ablehnungsverfahren in der Regel nicht zur Beurteilung behaupteter Verfahrens- oder anderer Fehler des Richters dienen. Solche Rügen sind im dafür vorgesehenen Rechtsmittelverfahren geltend zu machen ( BGE 125 I 119 E. 3e S. 124; 115 Ia 400 E. 3b S. 404; je mit Hinweisen).</w:t>
      </w:r>
    </w:p>
    <w:p>
      <w:r>
        <w:rPr>
          <w:b/>
        </w:rPr>
        <w:t>E. 2.3</w:t>
      </w:r>
    </w:p>
    <w:p>
      <w:r>
        <w:t>Die I. Strafkammer vertritt im Beschluss vom 9. Februar 2010 die Auffassung, lediglich teilweise Aussagen des Journalisten wären unzulässig. Dies mag diskutabel erscheinen. Wie es sich damit verhält, braucht hier jedoch nicht vertieft zu werden. Die von der I. Strafkammer geäusserte Auffassung stellt jedenfalls keinen besonders krassen Irrtum dar, der als schwere Verletzung der Richterpflichten beurteilt werden müsste. Der Beschwerdeführer macht dies auch nicht substanziiert geltend. Insoweit ergibt sich deshalb im Lichte der dargelegten Rechtsprechung bei objektiver Betrachtung kein Anschein der Befangenheit.</w:t>
      </w:r>
    </w:p>
    <w:p>
      <w:r>
        <w:t>Die Erwägung der I. Strafkammer im Beschluss vom 9. Februar 2010, nur partielle Aussagen wären - mangels Überprüfbarkeit - mit einem Vorbehalt hinsichtlich deren Glaubhaftigkeit zu versehen, ist ebenso wenig geeignet, diesen Anschein zu begründen. Denn damit bringt die Vorinstanz Naheliegendes zum Ausdruck. Im für den Beschwerdeführer besten Fall würde der Zeuge bei seiner Befragung durch die I. Strafkammer - wie vom Beschwerdeführer in Aussicht gestellt - aussagen, dass er - der Zeuge - die Dokumente nicht vom Beschwerdeführer erhalten habe und dieser bei den Treffen keine Amtsgeheimnisse offenbart habe, sondern dabei nur über Unverfängliches gesprochen worden sei. Es ist nicht ersichtlich und der Beschwerdeführer legt dies auch nicht dar, wie die I. Strafkammer eine solche Aussage überprüfen können sollte. Anders verhielte es sich, wenn der Zeuge vollständige Aussagen machte und angäbe, von wem er die Dokumente erhalten habe. Diesfalls könnte diese Drittperson befragt und könnten weitere Abklärungen vorgenommen werden, ob diese aufgrund der Umstände wirklich der Täter sein könne. Bei dieser Sachlage ist es nachvollziehbar, wenn die I. Strafkammer darlegt, nur partielle Aussagen des Zeugen wären - mangels Überprüfbarkeit - mit einem Vorbehalt hinsichtlich deren Glaubhaftigkeit zu versehen. Die I. Strafkammer sagt im Übrigen nicht, die Angaben des Zeugen wären bei einer lediglich teilweisen Aussage schlechthin unglaubhaft. Sie formuliert zurückhaltender, es wäre insoweit mangels Überprüfbarkeit ein Vorbehalt hinsichtlich der Glaubhaftigkeit anzubringen. Dies trifft nach dem Gesagten zu, weshalb sich daraus bei objektiver Betrachtung kein Anschein der Befangenheit ergibt.</w:t>
      </w:r>
    </w:p>
    <w:p>
      <w:r>
        <w:rPr>
          <w:b/>
        </w:rPr>
        <w:t>E. 3</w:t>
      </w:r>
    </w:p>
    <w:p>
      <w:r>
        <w:t>Die Beschwerde ist abzuweisen.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